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FFF" w:rsidRPr="00F47265" w:rsidRDefault="0036721B" w:rsidP="00F47265">
      <w:pPr>
        <w:jc w:val="center"/>
        <w:rPr>
          <w:b/>
          <w:bCs/>
          <w:sz w:val="30"/>
          <w:szCs w:val="30"/>
        </w:rPr>
      </w:pPr>
      <w:r>
        <w:rPr>
          <w:b/>
          <w:bCs/>
          <w:sz w:val="30"/>
          <w:szCs w:val="30"/>
        </w:rPr>
        <w:t>Percepção dos Beneficiários d</w:t>
      </w:r>
      <w:r w:rsidRPr="00DA4FFF">
        <w:rPr>
          <w:b/>
          <w:bCs/>
          <w:sz w:val="30"/>
          <w:szCs w:val="30"/>
        </w:rPr>
        <w:t xml:space="preserve">o </w:t>
      </w:r>
      <w:r>
        <w:rPr>
          <w:b/>
          <w:bCs/>
          <w:sz w:val="30"/>
          <w:szCs w:val="30"/>
        </w:rPr>
        <w:t>Programa Minha Casa Minha Vida de São Gotardo - MG</w:t>
      </w:r>
    </w:p>
    <w:p w:rsidR="00DA4FFF" w:rsidRDefault="00DA4FFF" w:rsidP="00DA4FFF">
      <w:pPr>
        <w:pStyle w:val="Ttulo1"/>
        <w:spacing w:before="0"/>
        <w:rPr>
          <w:rFonts w:ascii="Times New Roman" w:hAnsi="Times New Roman" w:cs="Times New Roman"/>
          <w:color w:val="auto"/>
          <w:lang w:val="pt-BR"/>
        </w:rPr>
      </w:pPr>
      <w:bookmarkStart w:id="0" w:name="_Toc365469690"/>
      <w:bookmarkStart w:id="1" w:name="_Toc469305034"/>
    </w:p>
    <w:p w:rsidR="00182117" w:rsidRPr="00182117" w:rsidRDefault="00182117" w:rsidP="00182117">
      <w:pPr>
        <w:rPr>
          <w:lang w:val="pt-BR"/>
        </w:rPr>
      </w:pPr>
    </w:p>
    <w:p w:rsidR="00182117" w:rsidRDefault="00182117" w:rsidP="00182117">
      <w:pPr>
        <w:tabs>
          <w:tab w:val="center" w:pos="4535"/>
          <w:tab w:val="left" w:pos="7095"/>
        </w:tabs>
        <w:jc w:val="center"/>
        <w:rPr>
          <w:sz w:val="20"/>
          <w:szCs w:val="20"/>
          <w:lang w:val="pt-BR"/>
        </w:rPr>
      </w:pPr>
      <w:r w:rsidRPr="00C2396E">
        <w:rPr>
          <w:sz w:val="20"/>
          <w:szCs w:val="20"/>
          <w:lang w:val="pt-BR"/>
        </w:rPr>
        <w:t xml:space="preserve">Lílian Eliene Barbosa </w:t>
      </w:r>
    </w:p>
    <w:p w:rsidR="00182117" w:rsidRDefault="00182117" w:rsidP="00182117">
      <w:pPr>
        <w:tabs>
          <w:tab w:val="center" w:pos="4535"/>
          <w:tab w:val="left" w:pos="7095"/>
        </w:tabs>
        <w:jc w:val="center"/>
        <w:rPr>
          <w:sz w:val="20"/>
          <w:szCs w:val="20"/>
          <w:lang w:val="pt-BR"/>
        </w:rPr>
      </w:pPr>
      <w:r w:rsidRPr="00C2396E">
        <w:rPr>
          <w:sz w:val="20"/>
          <w:szCs w:val="20"/>
          <w:lang w:val="pt-BR"/>
        </w:rPr>
        <w:t>Graduada em Administração e Ciências Contábeis pela Universidade Federal de Viçosa – Campus Rio Paranaíba</w:t>
      </w:r>
      <w:r>
        <w:rPr>
          <w:sz w:val="20"/>
          <w:szCs w:val="20"/>
          <w:lang w:val="pt-BR"/>
        </w:rPr>
        <w:t xml:space="preserve"> </w:t>
      </w:r>
    </w:p>
    <w:p w:rsidR="00182117" w:rsidRPr="00C2396E" w:rsidRDefault="00182117" w:rsidP="00182117">
      <w:pPr>
        <w:tabs>
          <w:tab w:val="center" w:pos="4535"/>
          <w:tab w:val="left" w:pos="7095"/>
        </w:tabs>
        <w:jc w:val="center"/>
        <w:rPr>
          <w:rStyle w:val="ms-font-s"/>
          <w:sz w:val="20"/>
          <w:szCs w:val="20"/>
        </w:rPr>
      </w:pPr>
      <w:hyperlink r:id="rId9" w:history="1">
        <w:r w:rsidRPr="00C2396E">
          <w:rPr>
            <w:rStyle w:val="Hyperlink"/>
            <w:sz w:val="20"/>
            <w:szCs w:val="20"/>
          </w:rPr>
          <w:t>lilianeliene@hotmail.com</w:t>
        </w:r>
      </w:hyperlink>
    </w:p>
    <w:p w:rsidR="00182117" w:rsidRPr="00C2396E" w:rsidRDefault="00182117" w:rsidP="00182117">
      <w:pPr>
        <w:jc w:val="center"/>
        <w:rPr>
          <w:sz w:val="20"/>
          <w:szCs w:val="20"/>
          <w:lang w:val="pt-BR"/>
        </w:rPr>
      </w:pPr>
    </w:p>
    <w:p w:rsidR="00182117" w:rsidRDefault="00182117" w:rsidP="00182117">
      <w:pPr>
        <w:jc w:val="center"/>
        <w:rPr>
          <w:sz w:val="20"/>
          <w:szCs w:val="20"/>
          <w:lang w:val="pt-BR"/>
        </w:rPr>
      </w:pPr>
      <w:r w:rsidRPr="00C2396E">
        <w:rPr>
          <w:sz w:val="20"/>
          <w:szCs w:val="20"/>
          <w:lang w:val="pt-BR"/>
        </w:rPr>
        <w:t xml:space="preserve">Ana Cristina Ferreira </w:t>
      </w:r>
    </w:p>
    <w:p w:rsidR="00182117" w:rsidRDefault="00182117" w:rsidP="00182117">
      <w:pPr>
        <w:jc w:val="center"/>
        <w:rPr>
          <w:sz w:val="20"/>
          <w:szCs w:val="20"/>
          <w:lang w:val="pt-BR"/>
        </w:rPr>
      </w:pPr>
      <w:r w:rsidRPr="00C2396E">
        <w:rPr>
          <w:sz w:val="20"/>
          <w:szCs w:val="20"/>
          <w:lang w:val="pt-BR"/>
        </w:rPr>
        <w:t>Doutoranda em Administração pela Universidade Federal de Lavras</w:t>
      </w:r>
      <w:r>
        <w:rPr>
          <w:sz w:val="20"/>
          <w:szCs w:val="20"/>
          <w:lang w:val="pt-BR"/>
        </w:rPr>
        <w:t xml:space="preserve"> </w:t>
      </w:r>
    </w:p>
    <w:p w:rsidR="00182117" w:rsidRPr="00C2396E" w:rsidRDefault="00182117" w:rsidP="00182117">
      <w:pPr>
        <w:jc w:val="center"/>
        <w:rPr>
          <w:sz w:val="20"/>
          <w:szCs w:val="20"/>
        </w:rPr>
      </w:pPr>
      <w:hyperlink r:id="rId10" w:history="1">
        <w:r w:rsidRPr="00C2396E">
          <w:rPr>
            <w:rStyle w:val="Hyperlink"/>
            <w:sz w:val="20"/>
            <w:szCs w:val="20"/>
          </w:rPr>
          <w:t>ana-cristina18@hotmail.com</w:t>
        </w:r>
      </w:hyperlink>
    </w:p>
    <w:p w:rsidR="00182117" w:rsidRPr="00182117" w:rsidRDefault="00182117" w:rsidP="00182117"/>
    <w:p w:rsidR="00182117" w:rsidRDefault="00182117" w:rsidP="00182117">
      <w:pPr>
        <w:pStyle w:val="Ttulo1"/>
        <w:spacing w:before="0"/>
        <w:rPr>
          <w:rFonts w:ascii="Times New Roman" w:hAnsi="Times New Roman" w:cs="Times New Roman"/>
          <w:color w:val="auto"/>
          <w:sz w:val="24"/>
          <w:szCs w:val="24"/>
        </w:rPr>
      </w:pPr>
    </w:p>
    <w:p w:rsidR="00DA4FFF" w:rsidRPr="00F47265" w:rsidRDefault="00DA4FFF" w:rsidP="00DA4FFF">
      <w:pPr>
        <w:pStyle w:val="Ttulo1"/>
        <w:spacing w:before="0"/>
        <w:rPr>
          <w:rFonts w:ascii="Times New Roman" w:hAnsi="Times New Roman" w:cs="Times New Roman"/>
          <w:color w:val="auto"/>
          <w:sz w:val="24"/>
          <w:szCs w:val="24"/>
        </w:rPr>
      </w:pPr>
      <w:r w:rsidRPr="00F47265">
        <w:rPr>
          <w:rFonts w:ascii="Times New Roman" w:hAnsi="Times New Roman" w:cs="Times New Roman"/>
          <w:color w:val="auto"/>
          <w:sz w:val="24"/>
          <w:szCs w:val="24"/>
        </w:rPr>
        <w:t>R</w:t>
      </w:r>
      <w:r w:rsidR="0036721B" w:rsidRPr="00F47265">
        <w:rPr>
          <w:rFonts w:ascii="Times New Roman" w:hAnsi="Times New Roman" w:cs="Times New Roman"/>
          <w:color w:val="auto"/>
          <w:sz w:val="24"/>
          <w:szCs w:val="24"/>
        </w:rPr>
        <w:t>esumo</w:t>
      </w:r>
      <w:bookmarkEnd w:id="0"/>
      <w:bookmarkEnd w:id="1"/>
    </w:p>
    <w:p w:rsidR="00DA4FFF" w:rsidRPr="00DA4FFF" w:rsidRDefault="00DA4FFF" w:rsidP="00DA4FFF">
      <w:pPr>
        <w:jc w:val="both"/>
        <w:rPr>
          <w:sz w:val="22"/>
          <w:szCs w:val="22"/>
        </w:rPr>
      </w:pPr>
    </w:p>
    <w:p w:rsidR="00DA4FFF" w:rsidRPr="00DA4FFF" w:rsidRDefault="00DA4FFF" w:rsidP="00DA4FFF">
      <w:pPr>
        <w:pStyle w:val="Default"/>
        <w:jc w:val="both"/>
        <w:rPr>
          <w:color w:val="auto"/>
          <w:sz w:val="22"/>
          <w:szCs w:val="22"/>
        </w:rPr>
      </w:pPr>
      <w:r w:rsidRPr="00DA4FFF">
        <w:rPr>
          <w:color w:val="auto"/>
          <w:sz w:val="22"/>
          <w:szCs w:val="22"/>
        </w:rPr>
        <w:t xml:space="preserve">Em 2009 foi criado o Programa Minha Casa Minha Vida - PMCMV com o objetivo de promover o acesso à moradia digna para a população de baixa renda, onde se concentra </w:t>
      </w:r>
      <w:proofErr w:type="gramStart"/>
      <w:r w:rsidRPr="00DA4FFF">
        <w:rPr>
          <w:color w:val="auto"/>
          <w:sz w:val="22"/>
          <w:szCs w:val="22"/>
        </w:rPr>
        <w:t>cerca de 84</w:t>
      </w:r>
      <w:proofErr w:type="gramEnd"/>
      <w:r w:rsidRPr="00DA4FFF">
        <w:rPr>
          <w:color w:val="auto"/>
          <w:sz w:val="22"/>
          <w:szCs w:val="22"/>
        </w:rPr>
        <w:t>% do déficit</w:t>
      </w:r>
      <w:r w:rsidR="009817B1">
        <w:rPr>
          <w:color w:val="auto"/>
          <w:sz w:val="22"/>
          <w:szCs w:val="22"/>
        </w:rPr>
        <w:t>. I</w:t>
      </w:r>
      <w:r w:rsidRPr="00DA4FFF">
        <w:rPr>
          <w:color w:val="auto"/>
          <w:sz w:val="22"/>
          <w:szCs w:val="22"/>
        </w:rPr>
        <w:t xml:space="preserve">sso incentivou a indústria da construção civil, na oferta de moradia popular. Do exposto, este trabalho buscou conhecer os aspectos que influenciam na satisfação das famílias contempladas pelo programa em São </w:t>
      </w:r>
      <w:proofErr w:type="gramStart"/>
      <w:r w:rsidRPr="00DA4FFF">
        <w:rPr>
          <w:color w:val="auto"/>
          <w:sz w:val="22"/>
          <w:szCs w:val="22"/>
        </w:rPr>
        <w:t>Gotardo-MG</w:t>
      </w:r>
      <w:proofErr w:type="gramEnd"/>
      <w:r w:rsidRPr="00DA4FFF">
        <w:rPr>
          <w:color w:val="auto"/>
          <w:sz w:val="22"/>
          <w:szCs w:val="22"/>
        </w:rPr>
        <w:t>. Para tanto, realizou-se uma pesquisa com 230 famílias</w:t>
      </w:r>
      <w:r w:rsidR="009817B1">
        <w:rPr>
          <w:color w:val="auto"/>
          <w:sz w:val="22"/>
          <w:szCs w:val="22"/>
        </w:rPr>
        <w:t>.</w:t>
      </w:r>
      <w:r w:rsidRPr="00DA4FFF">
        <w:rPr>
          <w:color w:val="auto"/>
          <w:sz w:val="22"/>
          <w:szCs w:val="22"/>
        </w:rPr>
        <w:t xml:space="preserve"> As informações coletadas foram analisadas por intermédio do cruzamento de dados, análise de frequência e </w:t>
      </w:r>
      <w:proofErr w:type="spellStart"/>
      <w:r w:rsidRPr="00DA4FFF">
        <w:rPr>
          <w:color w:val="auto"/>
          <w:sz w:val="22"/>
          <w:szCs w:val="22"/>
        </w:rPr>
        <w:t>test</w:t>
      </w:r>
      <w:proofErr w:type="spellEnd"/>
      <w:r w:rsidRPr="00DA4FFF">
        <w:rPr>
          <w:color w:val="auto"/>
          <w:sz w:val="22"/>
          <w:szCs w:val="22"/>
        </w:rPr>
        <w:t xml:space="preserve"> </w:t>
      </w:r>
      <w:r w:rsidRPr="00DA4FFF">
        <w:rPr>
          <w:i/>
          <w:color w:val="auto"/>
          <w:sz w:val="22"/>
          <w:szCs w:val="22"/>
        </w:rPr>
        <w:t xml:space="preserve">t </w:t>
      </w:r>
      <w:proofErr w:type="spellStart"/>
      <w:r w:rsidRPr="00DA4FFF">
        <w:rPr>
          <w:i/>
          <w:color w:val="auto"/>
          <w:sz w:val="22"/>
          <w:szCs w:val="22"/>
        </w:rPr>
        <w:t>Student</w:t>
      </w:r>
      <w:proofErr w:type="spellEnd"/>
      <w:r w:rsidRPr="00DA4FFF">
        <w:rPr>
          <w:i/>
          <w:color w:val="auto"/>
          <w:sz w:val="22"/>
          <w:szCs w:val="22"/>
        </w:rPr>
        <w:t xml:space="preserve"> </w:t>
      </w:r>
      <w:r w:rsidRPr="00DA4FFF">
        <w:rPr>
          <w:color w:val="auto"/>
          <w:sz w:val="22"/>
          <w:szCs w:val="22"/>
        </w:rPr>
        <w:t xml:space="preserve">para amostras independentes. Constatou-se que homens têm uma leve tendência de percepção mais satisfatória que as mulheres. Por conseguinte, averiguou-se que a possibilidade de utilizar o saldo de FGTS na aquisição da moradia e o fato de conseguir negociar com a construtora adequações na fase de construção, </w:t>
      </w:r>
      <w:proofErr w:type="gramStart"/>
      <w:r w:rsidRPr="00DA4FFF">
        <w:rPr>
          <w:color w:val="auto"/>
          <w:sz w:val="22"/>
          <w:szCs w:val="22"/>
        </w:rPr>
        <w:t>influenciam</w:t>
      </w:r>
      <w:proofErr w:type="gramEnd"/>
      <w:r w:rsidRPr="00DA4FFF">
        <w:rPr>
          <w:color w:val="auto"/>
          <w:sz w:val="22"/>
          <w:szCs w:val="22"/>
        </w:rPr>
        <w:t xml:space="preserve"> na percepção do beneficiário.</w:t>
      </w:r>
    </w:p>
    <w:p w:rsidR="00DA4FFF" w:rsidRPr="00DA4FFF" w:rsidRDefault="00DA4FFF" w:rsidP="00DA4FFF">
      <w:pPr>
        <w:jc w:val="both"/>
        <w:rPr>
          <w:sz w:val="22"/>
          <w:szCs w:val="22"/>
        </w:rPr>
      </w:pPr>
      <w:r w:rsidRPr="00F47265">
        <w:rPr>
          <w:b/>
          <w:bCs/>
        </w:rPr>
        <w:t>Palavras-chave</w:t>
      </w:r>
      <w:r w:rsidR="00E270AB" w:rsidRPr="00F47265">
        <w:t>:</w:t>
      </w:r>
      <w:r w:rsidR="00E270AB">
        <w:rPr>
          <w:sz w:val="22"/>
          <w:szCs w:val="22"/>
        </w:rPr>
        <w:t xml:space="preserve"> Habitação,</w:t>
      </w:r>
      <w:r w:rsidRPr="00DA4FFF">
        <w:rPr>
          <w:sz w:val="22"/>
          <w:szCs w:val="22"/>
        </w:rPr>
        <w:t xml:space="preserve"> </w:t>
      </w:r>
      <w:r w:rsidR="0066797A" w:rsidRPr="00BC322A">
        <w:t>Minha Casa Minha Vida</w:t>
      </w:r>
      <w:r w:rsidR="00E270AB">
        <w:rPr>
          <w:sz w:val="22"/>
          <w:szCs w:val="22"/>
        </w:rPr>
        <w:t>,</w:t>
      </w:r>
      <w:r w:rsidRPr="00DA4FFF">
        <w:rPr>
          <w:sz w:val="22"/>
          <w:szCs w:val="22"/>
        </w:rPr>
        <w:t xml:space="preserve"> Satisfação.</w:t>
      </w:r>
      <w:bookmarkStart w:id="2" w:name="_Toc469305035"/>
    </w:p>
    <w:p w:rsidR="00DA4FFF" w:rsidRPr="00DA4FFF" w:rsidRDefault="00DA4FFF" w:rsidP="00182117">
      <w:pPr>
        <w:pStyle w:val="Ttulo1"/>
        <w:spacing w:before="0" w:after="120"/>
        <w:rPr>
          <w:rFonts w:ascii="Times New Roman" w:hAnsi="Times New Roman" w:cs="Times New Roman"/>
          <w:color w:val="auto"/>
          <w:sz w:val="22"/>
          <w:szCs w:val="22"/>
        </w:rPr>
      </w:pPr>
    </w:p>
    <w:p w:rsidR="00F47265" w:rsidRDefault="00F47265" w:rsidP="00182117">
      <w:pPr>
        <w:pStyle w:val="Ttulo1"/>
        <w:spacing w:before="0" w:after="120"/>
        <w:rPr>
          <w:rFonts w:ascii="Times New Roman" w:hAnsi="Times New Roman" w:cs="Times New Roman"/>
          <w:color w:val="auto"/>
          <w:sz w:val="22"/>
          <w:szCs w:val="22"/>
          <w:lang w:val="en-US"/>
        </w:rPr>
      </w:pPr>
    </w:p>
    <w:p w:rsidR="00F47265" w:rsidRPr="00F47265" w:rsidRDefault="00F47265" w:rsidP="00F47265">
      <w:pPr>
        <w:pStyle w:val="Ttulo1"/>
        <w:spacing w:before="0"/>
        <w:jc w:val="center"/>
        <w:rPr>
          <w:rFonts w:ascii="Times New Roman" w:hAnsi="Times New Roman" w:cs="Times New Roman"/>
          <w:color w:val="auto"/>
          <w:sz w:val="22"/>
          <w:szCs w:val="22"/>
          <w:lang w:val="en-US"/>
        </w:rPr>
      </w:pPr>
      <w:r w:rsidRPr="00F47265">
        <w:rPr>
          <w:rFonts w:ascii="Times New Roman" w:hAnsi="Times New Roman" w:cs="Times New Roman"/>
          <w:color w:val="auto"/>
          <w:sz w:val="30"/>
          <w:szCs w:val="30"/>
          <w:lang w:val="en-US"/>
        </w:rPr>
        <w:t xml:space="preserve">Perception of the Beneficiaries of the Program My House My Life of São </w:t>
      </w:r>
      <w:proofErr w:type="spellStart"/>
      <w:r w:rsidRPr="00F47265">
        <w:rPr>
          <w:rFonts w:ascii="Times New Roman" w:hAnsi="Times New Roman" w:cs="Times New Roman"/>
          <w:color w:val="auto"/>
          <w:sz w:val="30"/>
          <w:szCs w:val="30"/>
          <w:lang w:val="en-US"/>
        </w:rPr>
        <w:t>Gotardo</w:t>
      </w:r>
      <w:proofErr w:type="spellEnd"/>
      <w:r w:rsidRPr="00F47265">
        <w:rPr>
          <w:rFonts w:ascii="Times New Roman" w:hAnsi="Times New Roman" w:cs="Times New Roman"/>
          <w:color w:val="auto"/>
          <w:sz w:val="30"/>
          <w:szCs w:val="30"/>
          <w:lang w:val="en-US"/>
        </w:rPr>
        <w:t xml:space="preserve"> – MG</w:t>
      </w:r>
    </w:p>
    <w:p w:rsidR="00F47265" w:rsidRDefault="00F47265" w:rsidP="00182117">
      <w:pPr>
        <w:pStyle w:val="Ttulo1"/>
        <w:spacing w:before="0" w:after="120"/>
        <w:rPr>
          <w:rFonts w:ascii="Times New Roman" w:hAnsi="Times New Roman" w:cs="Times New Roman"/>
          <w:color w:val="auto"/>
          <w:sz w:val="22"/>
          <w:szCs w:val="22"/>
          <w:lang w:val="en-US"/>
        </w:rPr>
      </w:pPr>
    </w:p>
    <w:p w:rsidR="00F47265" w:rsidRDefault="00F47265" w:rsidP="00182117">
      <w:pPr>
        <w:pStyle w:val="Ttulo1"/>
        <w:spacing w:before="0" w:after="120"/>
        <w:rPr>
          <w:rFonts w:ascii="Times New Roman" w:hAnsi="Times New Roman" w:cs="Times New Roman"/>
          <w:color w:val="auto"/>
          <w:sz w:val="22"/>
          <w:szCs w:val="22"/>
          <w:lang w:val="en-US"/>
        </w:rPr>
      </w:pPr>
    </w:p>
    <w:p w:rsidR="00DA4FFF" w:rsidRPr="00F47265" w:rsidRDefault="00DA4FFF" w:rsidP="00DA4FFF">
      <w:pPr>
        <w:pStyle w:val="Ttulo1"/>
        <w:spacing w:before="0"/>
        <w:rPr>
          <w:rFonts w:ascii="Times New Roman" w:hAnsi="Times New Roman" w:cs="Times New Roman"/>
          <w:color w:val="auto"/>
          <w:sz w:val="24"/>
          <w:szCs w:val="24"/>
          <w:lang w:val="en-US"/>
        </w:rPr>
      </w:pPr>
      <w:r w:rsidRPr="00F47265">
        <w:rPr>
          <w:rFonts w:ascii="Times New Roman" w:hAnsi="Times New Roman" w:cs="Times New Roman"/>
          <w:color w:val="auto"/>
          <w:sz w:val="24"/>
          <w:szCs w:val="24"/>
          <w:lang w:val="en-US"/>
        </w:rPr>
        <w:t>A</w:t>
      </w:r>
      <w:r w:rsidR="0036721B" w:rsidRPr="00F47265">
        <w:rPr>
          <w:rFonts w:ascii="Times New Roman" w:hAnsi="Times New Roman" w:cs="Times New Roman"/>
          <w:color w:val="auto"/>
          <w:sz w:val="24"/>
          <w:szCs w:val="24"/>
          <w:lang w:val="en-US"/>
        </w:rPr>
        <w:t>bstract</w:t>
      </w:r>
      <w:bookmarkEnd w:id="2"/>
    </w:p>
    <w:p w:rsidR="00DA4FFF" w:rsidRPr="00DA4FFF" w:rsidRDefault="00DA4FFF" w:rsidP="00DA4FFF">
      <w:pPr>
        <w:rPr>
          <w:sz w:val="22"/>
          <w:szCs w:val="22"/>
          <w:lang w:val="en-US"/>
        </w:rPr>
      </w:pPr>
    </w:p>
    <w:p w:rsidR="00DA4FFF" w:rsidRPr="00F47265" w:rsidRDefault="00DA4FFF" w:rsidP="00DA4FFF">
      <w:pPr>
        <w:jc w:val="both"/>
        <w:rPr>
          <w:sz w:val="22"/>
          <w:szCs w:val="22"/>
          <w:lang w:val="en-US"/>
        </w:rPr>
      </w:pPr>
      <w:r w:rsidRPr="00DA4FFF">
        <w:rPr>
          <w:sz w:val="22"/>
          <w:szCs w:val="22"/>
          <w:lang w:val="en-US"/>
        </w:rPr>
        <w:t xml:space="preserve">In 2009, was created the My House My Life Program with the objective of promoting access to </w:t>
      </w:r>
      <w:proofErr w:type="spellStart"/>
      <w:r w:rsidRPr="00DA4FFF">
        <w:rPr>
          <w:sz w:val="22"/>
          <w:szCs w:val="22"/>
          <w:lang w:val="en-US"/>
        </w:rPr>
        <w:t>digni</w:t>
      </w:r>
      <w:proofErr w:type="spellEnd"/>
      <w:r w:rsidRPr="00DA4FFF">
        <w:rPr>
          <w:sz w:val="22"/>
          <w:szCs w:val="22"/>
          <w:lang w:val="en-US"/>
        </w:rPr>
        <w:t xml:space="preserve"> housing for the low-income population, where approximately 84% of the deficit is concentrated. </w:t>
      </w:r>
      <w:proofErr w:type="gramStart"/>
      <w:r w:rsidR="00061D90">
        <w:rPr>
          <w:sz w:val="22"/>
          <w:szCs w:val="22"/>
          <w:lang w:val="en-US"/>
        </w:rPr>
        <w:t>T</w:t>
      </w:r>
      <w:r w:rsidRPr="00DA4FFF">
        <w:rPr>
          <w:sz w:val="22"/>
          <w:szCs w:val="22"/>
          <w:lang w:val="en-US"/>
        </w:rPr>
        <w:t>hus encouraging the construction industry in the country, in the offer of popular housing.</w:t>
      </w:r>
      <w:proofErr w:type="gramEnd"/>
      <w:r w:rsidRPr="00DA4FFF">
        <w:rPr>
          <w:sz w:val="22"/>
          <w:szCs w:val="22"/>
          <w:lang w:val="en-US"/>
        </w:rPr>
        <w:t xml:space="preserve"> From the above, this work sought to know the aspects that influence in the satisfaction of the families contemplated by the program in São </w:t>
      </w:r>
      <w:proofErr w:type="spellStart"/>
      <w:r w:rsidRPr="00DA4FFF">
        <w:rPr>
          <w:sz w:val="22"/>
          <w:szCs w:val="22"/>
          <w:lang w:val="en-US"/>
        </w:rPr>
        <w:t>Gotardo</w:t>
      </w:r>
      <w:proofErr w:type="spellEnd"/>
      <w:r w:rsidRPr="00DA4FFF">
        <w:rPr>
          <w:sz w:val="22"/>
          <w:szCs w:val="22"/>
          <w:lang w:val="en-US"/>
        </w:rPr>
        <w:t>-MG. For that, a survey was</w:t>
      </w:r>
      <w:r w:rsidR="00061D90">
        <w:rPr>
          <w:sz w:val="22"/>
          <w:szCs w:val="22"/>
          <w:lang w:val="en-US"/>
        </w:rPr>
        <w:t xml:space="preserve"> carried out with 230 families. </w:t>
      </w:r>
      <w:r w:rsidRPr="00DA4FFF">
        <w:rPr>
          <w:sz w:val="22"/>
          <w:szCs w:val="22"/>
          <w:lang w:val="en-US"/>
        </w:rPr>
        <w:t>The collected information was analyzed through data crossing, frequency analysis and Student's t-test for independent samples. It has been found that men have a more satisfying perception than women. Therefore, it was found that the use of the balance of FGTS in the acquisition of housing and the fact be able to negotiate with the contractor for adjustments in the phase of construction, the influence on the perception of the beneficiaries.</w:t>
      </w:r>
    </w:p>
    <w:p w:rsidR="00DA4FFF" w:rsidRPr="00DA4FFF" w:rsidRDefault="00DA4FFF" w:rsidP="00DA4FFF">
      <w:pPr>
        <w:jc w:val="both"/>
        <w:rPr>
          <w:bCs/>
          <w:sz w:val="22"/>
          <w:szCs w:val="22"/>
          <w:lang w:val="en-US"/>
        </w:rPr>
      </w:pPr>
      <w:r w:rsidRPr="00F47265">
        <w:rPr>
          <w:b/>
          <w:bCs/>
          <w:lang w:val="en-US"/>
        </w:rPr>
        <w:t>Keywords:</w:t>
      </w:r>
      <w:r w:rsidRPr="00DA4FFF">
        <w:rPr>
          <w:bCs/>
          <w:sz w:val="22"/>
          <w:szCs w:val="22"/>
          <w:lang w:val="en-US"/>
        </w:rPr>
        <w:t xml:space="preserve"> Housing; My Home My Life; Satisfaction.</w:t>
      </w:r>
    </w:p>
    <w:p w:rsidR="00DA4FFF" w:rsidRPr="00DA4FFF" w:rsidRDefault="00DA4FFF" w:rsidP="00DA4FFF">
      <w:pPr>
        <w:jc w:val="center"/>
        <w:rPr>
          <w:lang w:val="en-US"/>
        </w:rPr>
      </w:pPr>
    </w:p>
    <w:p w:rsidR="00182117" w:rsidRDefault="00182117">
      <w:pPr>
        <w:spacing w:after="200" w:line="276" w:lineRule="auto"/>
        <w:rPr>
          <w:rFonts w:eastAsiaTheme="majorEastAsia"/>
          <w:b/>
          <w:bCs/>
        </w:rPr>
      </w:pPr>
      <w:bookmarkStart w:id="3" w:name="_Toc469305036"/>
      <w:r>
        <w:br w:type="page"/>
      </w:r>
    </w:p>
    <w:p w:rsidR="00DA4FFF" w:rsidRPr="00DA4FFF" w:rsidRDefault="00DA4FFF" w:rsidP="00DA4FFF">
      <w:pPr>
        <w:pStyle w:val="Ttulo1"/>
        <w:spacing w:before="0" w:after="120"/>
        <w:rPr>
          <w:rFonts w:ascii="Times New Roman" w:hAnsi="Times New Roman" w:cs="Times New Roman"/>
          <w:b w:val="0"/>
          <w:color w:val="auto"/>
          <w:sz w:val="24"/>
          <w:szCs w:val="24"/>
        </w:rPr>
      </w:pPr>
      <w:r w:rsidRPr="00DA4FFF">
        <w:rPr>
          <w:rFonts w:ascii="Times New Roman" w:hAnsi="Times New Roman" w:cs="Times New Roman"/>
          <w:color w:val="auto"/>
          <w:sz w:val="24"/>
          <w:szCs w:val="24"/>
        </w:rPr>
        <w:lastRenderedPageBreak/>
        <w:t>1. I</w:t>
      </w:r>
      <w:r w:rsidR="0036721B" w:rsidRPr="00DA4FFF">
        <w:rPr>
          <w:rFonts w:ascii="Times New Roman" w:hAnsi="Times New Roman" w:cs="Times New Roman"/>
          <w:color w:val="auto"/>
          <w:sz w:val="24"/>
          <w:szCs w:val="24"/>
        </w:rPr>
        <w:t>ntrodução</w:t>
      </w:r>
      <w:bookmarkEnd w:id="3"/>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O direito à moradia digna está previsto na Constituição da República Federativa do Brasil de 1988 (CF/88), que considera a habitação um direito do cidadão e, além disso, a Lei nº 10.257/01 (Estatuto das Cidades) estabelece a função social da propriedade nas cidades e regulamenta as diretrizes da Política Urbana no Brasil (BRASIL, 2001).</w:t>
      </w:r>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Retomando breve histórico, em 1985, com o fim da ditadura, ocorreu a extinção do Banco Nacional de Habitação (BNH) e de uma política habitacional que tinha o Estado como agente promotor das políticas habitacionais no Brasil. Essa descentralização transferiu para a iniciativa privada o papel de principal agente na execução das políticas de habitação, sendo que esta buscava atender aos interesses do mercado imobiliário e do capital financeiro. Esse modelo acabou contribuindo para elevar o déficit habitacional no país, uma vez que o mercado financeiro é seletivo (SHIMBO, 2010).</w:t>
      </w:r>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 xml:space="preserve">O índice de déficit habitacional representa a quantidade de novas moradias necessárias para a solução de problemas sociais e específicos de habitação. É calculado pela Fundação João Pinheiro (FJP), que leva em conta o déficit e a inadequação da moradia. O déficit habitacional brasileiro representava 9%, em 2014, o que equivale a 6,068 milhões de moradias, 83,9% do déficit habitacional urbano concentrava-se na população de baixa renda, até três salários-mínimos (FJP, 2016a). Isso se deve ao fato destas famílias não terem condições de adquirir uma residência com recursos próprios, por isto é uma classe dependente das políticas públicas de habitação. </w:t>
      </w:r>
    </w:p>
    <w:p w:rsidR="00DA4FFF" w:rsidRPr="00DA4FFF" w:rsidRDefault="00DA4FFF" w:rsidP="00DA4FFF">
      <w:pPr>
        <w:autoSpaceDE w:val="0"/>
        <w:autoSpaceDN w:val="0"/>
        <w:adjustRightInd w:val="0"/>
        <w:spacing w:after="120"/>
        <w:jc w:val="both"/>
      </w:pPr>
      <w:r w:rsidRPr="00DA4FFF">
        <w:rPr>
          <w:rFonts w:eastAsiaTheme="minorHAnsi"/>
        </w:rPr>
        <w:t xml:space="preserve">De acordo com Reis (2013, p. 01), “[...] moradia representa o abrigo da família contra as intempéries, o espaço de descanso e convívio familiar, essencial para a formação do indivíduo e do grupo a que pertence”. De forma semelhante, Cherkezian e Bolaffi (1998) destacam a condição da habitação como elemento essencial para </w:t>
      </w:r>
      <w:r w:rsidRPr="00DA4FFF">
        <w:t xml:space="preserve">a fruição de uma vida saudável e afirma que a população de baixa renda tem conhecimento da importância de uma moradia decente. </w:t>
      </w:r>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 xml:space="preserve">Nesse sentido, surge a Política Nacional de Habitação (PNH) que “visa </w:t>
      </w:r>
      <w:r w:rsidRPr="00DA4FFF">
        <w:t>promover condições de acesso à moradia digna a todos os segmentos da população, especialmente o de baixa renda, contribuindo, assim, para a inclusão social</w:t>
      </w:r>
      <w:r w:rsidRPr="00DA4FFF">
        <w:rPr>
          <w:rFonts w:eastAsiaTheme="minorHAnsi"/>
        </w:rPr>
        <w:t xml:space="preserve">” (BRASIL, 2004, p. 29). A PNH propõe melhores condições de habitação às famílias de baixa renda e, com isso, reduzir o déficit habitacional. </w:t>
      </w:r>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 xml:space="preserve">Com este propósito, em 2009, o Governo Federal instituiu o Programa Minha Casa Minha Vida (PMCMV), por intermédio da Lei nº 11.977/2009, com objetivo de criar mecanismos de incentivo à produção e aquisição de novas unidades habitacionais ou requalificação de imóveis para famílias de baixa renda (BRASIL, 2009). </w:t>
      </w:r>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 xml:space="preserve">No PMCMV I - II (2009 – 2015), foram disponibilizados R$288,25 bilhões, que possibilitaram o financiamento de 4.162.163 unidades habitacionais em todo o país, em todas as faixas do programa (BRASIL, 2016a). Em Minas Gerais foram entregues 299.087 novas moradias, sendo </w:t>
      </w:r>
      <w:proofErr w:type="gramStart"/>
      <w:r w:rsidRPr="00DA4FFF">
        <w:rPr>
          <w:rFonts w:eastAsiaTheme="minorHAnsi"/>
        </w:rPr>
        <w:t>investido R$31,533 bilhões</w:t>
      </w:r>
      <w:proofErr w:type="gramEnd"/>
      <w:r w:rsidRPr="00DA4FFF">
        <w:rPr>
          <w:rFonts w:eastAsiaTheme="minorHAnsi"/>
        </w:rPr>
        <w:t xml:space="preserve"> (BRASIL, 2016a). No entanto, o estado ainda representa a segunda unidade da federação com maior concentração de déficit habitacional absoluto, com 529.270 unidades habitacionais (FJP, 2016a). Na Cidade de São Gotardo - MG o montante contratado nesse período foi 88,24 milhões (BRASIL, 2016b), que fomentou a indústria da construção civil na cidade, sendo entregues 1.145 novas unidades habitacionais à população nesse período.</w:t>
      </w:r>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 xml:space="preserve">O PMCMV visa </w:t>
      </w:r>
      <w:proofErr w:type="gramStart"/>
      <w:r w:rsidRPr="00DA4FFF">
        <w:rPr>
          <w:rFonts w:eastAsiaTheme="minorHAnsi"/>
        </w:rPr>
        <w:t>a</w:t>
      </w:r>
      <w:proofErr w:type="gramEnd"/>
      <w:r w:rsidRPr="00DA4FFF">
        <w:rPr>
          <w:rFonts w:eastAsiaTheme="minorHAnsi"/>
        </w:rPr>
        <w:t xml:space="preserve"> redução do déficit habitacional, para tanto, conta com a participação de diferentes elos: o governo, por meio das políticas públicas, os agentes financeiros na intermediação do crédito e as construtoras na oferta de moradia de interesse social à população. Em suma, é um programa social que também tem um lado mercadológico </w:t>
      </w:r>
      <w:r w:rsidRPr="00DA4FFF">
        <w:rPr>
          <w:rFonts w:eastAsiaTheme="minorHAnsi"/>
        </w:rPr>
        <w:lastRenderedPageBreak/>
        <w:t xml:space="preserve">exercido pelas empresas, uma vez que buscam resultados satisfatórios, ou seja, o lucro pode advir da eficiência operacional ou da redução excessiva do custo. Considerando, principalmente, que se trata de um recurso público, espera-se que este seja gasto de forma eficiente. Diante do exposto, surge o seguinte questionamento: </w:t>
      </w:r>
      <w:r w:rsidRPr="00DA4FFF">
        <w:t xml:space="preserve">Qual o nível de satisfação das famílias contempladas pelo programa Minha Casa Minha Vida em São Gotardo/MG? </w:t>
      </w:r>
    </w:p>
    <w:p w:rsidR="00DA4FFF" w:rsidRPr="00DA4FFF" w:rsidRDefault="00DA4FFF" w:rsidP="00DA4FFF">
      <w:pPr>
        <w:autoSpaceDE w:val="0"/>
        <w:autoSpaceDN w:val="0"/>
        <w:adjustRightInd w:val="0"/>
        <w:spacing w:after="120"/>
        <w:jc w:val="both"/>
      </w:pPr>
      <w:r w:rsidRPr="00DA4FFF">
        <w:t xml:space="preserve">Diante da importância de uma moradia decente e considerando que uma família de baixa renda dificilmente consegue poupar recursos suficientes para adquirir uma moradia apropriada com recurso próprio, o financiamento de uma residência por intermédio do PMCMV representa a possibilidade de autorrealização, no entanto, a qualidade do imóvel entregue pode divergir da expectativa do comprador. Neste contexto, o trabalho objetiva conhecer a satisfação dos beneficiários do Programa Minha Casa Minha Vida em São Gotardo – MG. Especificamente se propõe a: i) verificar o contentamento com relação à estrutura da moradia e, </w:t>
      </w:r>
      <w:proofErr w:type="gramStart"/>
      <w:r w:rsidRPr="00DA4FFF">
        <w:t>ii</w:t>
      </w:r>
      <w:proofErr w:type="gramEnd"/>
      <w:r w:rsidRPr="00DA4FFF">
        <w:t>) investigar a satisfação com o entorno e serviços ofertados nas proximidades.</w:t>
      </w:r>
    </w:p>
    <w:p w:rsidR="00DA4FFF" w:rsidRPr="00DA4FFF" w:rsidRDefault="00DA4FFF" w:rsidP="00DA4FFF">
      <w:pPr>
        <w:autoSpaceDE w:val="0"/>
        <w:autoSpaceDN w:val="0"/>
        <w:adjustRightInd w:val="0"/>
        <w:spacing w:after="120"/>
        <w:jc w:val="both"/>
      </w:pPr>
      <w:r w:rsidRPr="00DA4FFF">
        <w:t xml:space="preserve">Estudos já desenvolvidos sobre a satisfação dos beneficiários da Faixa </w:t>
      </w:r>
      <w:proofErr w:type="gramStart"/>
      <w:r w:rsidRPr="00DA4FFF">
        <w:t>1</w:t>
      </w:r>
      <w:proofErr w:type="gramEnd"/>
      <w:r w:rsidRPr="00DA4FFF">
        <w:t xml:space="preserve">, corroboram com a presente pesquisa, dentre eles destacam-se Reis (2013); Morais (2015) e </w:t>
      </w:r>
      <w:r w:rsidRPr="00DA4FFF">
        <w:rPr>
          <w:iCs/>
        </w:rPr>
        <w:t xml:space="preserve">Moreira e Silveira (2015). Todos concordam que a percepção do beneficiário pode contribuir para </w:t>
      </w:r>
      <w:proofErr w:type="gramStart"/>
      <w:r w:rsidRPr="00DA4FFF">
        <w:rPr>
          <w:iCs/>
        </w:rPr>
        <w:t>implementação</w:t>
      </w:r>
      <w:proofErr w:type="gramEnd"/>
      <w:r w:rsidRPr="00DA4FFF">
        <w:rPr>
          <w:iCs/>
        </w:rPr>
        <w:t xml:space="preserve"> de melhorias na habitação de interesse social.</w:t>
      </w:r>
      <w:r w:rsidRPr="00DA4FFF">
        <w:t xml:space="preserve"> Logo, “[...] as pessoas que responderam aos questionários têm valores culturais relativamente próximos, apesar da ampla variação regional [...]” (BRASIL, 2014, p. 112). </w:t>
      </w:r>
    </w:p>
    <w:p w:rsidR="00DA4FFF" w:rsidRPr="00DA4FFF" w:rsidRDefault="00DA4FFF" w:rsidP="00DA4FFF">
      <w:pPr>
        <w:autoSpaceDE w:val="0"/>
        <w:autoSpaceDN w:val="0"/>
        <w:adjustRightInd w:val="0"/>
        <w:spacing w:after="120"/>
        <w:jc w:val="both"/>
      </w:pPr>
      <w:r w:rsidRPr="00DA4FFF">
        <w:t xml:space="preserve">Este tema é relevante em razão da carência deste tipo de estudo com a faixa </w:t>
      </w:r>
      <w:proofErr w:type="gramStart"/>
      <w:r w:rsidRPr="00DA4FFF">
        <w:t>2</w:t>
      </w:r>
      <w:proofErr w:type="gramEnd"/>
      <w:r w:rsidRPr="00DA4FFF">
        <w:t xml:space="preserve"> do programa (BRASIL, 2014). A escolha da cidade de São Gotardo se deve à facilidade de acesso às famílias contempladas pelo programa e, ainda, pela ausência de estudos sobre a percepção dos beneficiários do programa na região do Alto Paranaíba. </w:t>
      </w:r>
    </w:p>
    <w:p w:rsidR="00DA4FFF" w:rsidRPr="00DA4FFF" w:rsidRDefault="00DA4FFF" w:rsidP="00DA4FFF">
      <w:pPr>
        <w:autoSpaceDE w:val="0"/>
        <w:autoSpaceDN w:val="0"/>
        <w:adjustRightInd w:val="0"/>
        <w:spacing w:after="120"/>
        <w:ind w:firstLine="708"/>
        <w:jc w:val="both"/>
      </w:pPr>
    </w:p>
    <w:p w:rsidR="00DA4FFF" w:rsidRPr="00DA4FFF" w:rsidRDefault="00DA4FFF" w:rsidP="00DA4FFF">
      <w:pPr>
        <w:pStyle w:val="Ttulo1"/>
        <w:numPr>
          <w:ilvl w:val="0"/>
          <w:numId w:val="7"/>
        </w:numPr>
        <w:spacing w:before="0" w:after="120"/>
        <w:rPr>
          <w:rFonts w:ascii="Times New Roman" w:hAnsi="Times New Roman" w:cs="Times New Roman"/>
          <w:color w:val="auto"/>
          <w:sz w:val="24"/>
          <w:szCs w:val="24"/>
        </w:rPr>
      </w:pPr>
      <w:r w:rsidRPr="00DA4FFF">
        <w:rPr>
          <w:rFonts w:ascii="Times New Roman" w:hAnsi="Times New Roman" w:cs="Times New Roman"/>
          <w:color w:val="auto"/>
          <w:sz w:val="24"/>
          <w:szCs w:val="24"/>
        </w:rPr>
        <w:t xml:space="preserve"> </w:t>
      </w:r>
      <w:bookmarkStart w:id="4" w:name="_Toc469305037"/>
      <w:r w:rsidRPr="00DA4FFF">
        <w:rPr>
          <w:rFonts w:ascii="Times New Roman" w:hAnsi="Times New Roman" w:cs="Times New Roman"/>
          <w:color w:val="auto"/>
          <w:sz w:val="24"/>
          <w:szCs w:val="24"/>
        </w:rPr>
        <w:t>R</w:t>
      </w:r>
      <w:r w:rsidR="0036721B" w:rsidRPr="00DA4FFF">
        <w:rPr>
          <w:rFonts w:ascii="Times New Roman" w:hAnsi="Times New Roman" w:cs="Times New Roman"/>
          <w:color w:val="auto"/>
          <w:sz w:val="24"/>
          <w:szCs w:val="24"/>
        </w:rPr>
        <w:t>evisão de literatura</w:t>
      </w:r>
      <w:bookmarkEnd w:id="4"/>
    </w:p>
    <w:p w:rsidR="00DA4FFF" w:rsidRPr="00DA4FFF" w:rsidRDefault="00DA4FFF" w:rsidP="00DA4FFF">
      <w:pPr>
        <w:autoSpaceDE w:val="0"/>
        <w:autoSpaceDN w:val="0"/>
        <w:adjustRightInd w:val="0"/>
        <w:spacing w:after="120"/>
        <w:jc w:val="both"/>
      </w:pPr>
      <w:r w:rsidRPr="00DA4FFF">
        <w:t xml:space="preserve">Nesse tópico serão elucidados os conceitos que permearam o desenvolvimento do trabalho. Buscou-se discorrer acerca do déficit habitacional, da importância das políticas públicas para a habitação de interesse social, a relevância do programa Minha Casa Minha Vida e da percepção do beneficiário enquanto consumidor final.  </w:t>
      </w:r>
    </w:p>
    <w:p w:rsidR="00DA4FFF" w:rsidRPr="00DA4FFF" w:rsidRDefault="00DA4FFF" w:rsidP="00DA4FFF">
      <w:pPr>
        <w:spacing w:after="120"/>
      </w:pPr>
    </w:p>
    <w:p w:rsidR="00DA4FFF" w:rsidRPr="00DA4FFF" w:rsidRDefault="00DA4FFF" w:rsidP="00DA4FFF">
      <w:pPr>
        <w:pStyle w:val="Ttulo2"/>
        <w:keepLines/>
        <w:numPr>
          <w:ilvl w:val="1"/>
          <w:numId w:val="7"/>
        </w:numPr>
        <w:rPr>
          <w:szCs w:val="24"/>
        </w:rPr>
      </w:pPr>
      <w:bookmarkStart w:id="5" w:name="_Toc469305038"/>
      <w:r w:rsidRPr="00DA4FFF">
        <w:rPr>
          <w:szCs w:val="24"/>
        </w:rPr>
        <w:t>Déficit Habitacional Brasileiro</w:t>
      </w:r>
      <w:bookmarkEnd w:id="5"/>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O termo déficit habitacional se refere à “[...] noção mais imediata e intuitiva de necessidade de construção de novas moradias para a solução de problemas sociais e específicos de habitação detectados em certo momento” (FJP, 2016a, p. 17).</w:t>
      </w:r>
      <w:r w:rsidRPr="00DA4FFF">
        <w:t xml:space="preserve"> É um estudo realizado pela FJP que trabalha os dados coletados pelo IBGE, por intermédio da </w:t>
      </w:r>
      <w:r w:rsidRPr="00DA4FFF">
        <w:rPr>
          <w:rFonts w:eastAsiaTheme="minorHAnsi"/>
        </w:rPr>
        <w:t>Pesquisa Nacional por Amostra de Domicílios (PNAD). Para</w:t>
      </w:r>
      <w:r w:rsidRPr="00DA4FFF">
        <w:t xml:space="preserve"> o cálculo do déficit </w:t>
      </w:r>
      <w:proofErr w:type="gramStart"/>
      <w:r w:rsidRPr="00DA4FFF">
        <w:rPr>
          <w:rFonts w:eastAsiaTheme="minorHAnsi"/>
        </w:rPr>
        <w:t>considera-se</w:t>
      </w:r>
      <w:proofErr w:type="gramEnd"/>
      <w:r w:rsidRPr="00DA4FFF">
        <w:rPr>
          <w:rFonts w:eastAsiaTheme="minorHAnsi"/>
        </w:rPr>
        <w:t xml:space="preserve"> dois segmentos distintos, déficit habitacional e a inadequação de moradias, no que se refere a situações de</w:t>
      </w:r>
      <w:r w:rsidRPr="00DA4FFF">
        <w:t xml:space="preserve"> domicílios que prejudicam a qualidade de vida de seus moradores</w:t>
      </w:r>
      <w:r w:rsidRPr="00DA4FFF">
        <w:rPr>
          <w:rFonts w:eastAsiaTheme="minorHAnsi"/>
        </w:rPr>
        <w:t xml:space="preserve"> (FPJ, 2016a). Em 2014, 83,9% do déficit concentra-se nas famílias com rendimento de até três salários mínimos, conforme demonstrado pela Tabela 1.</w:t>
      </w:r>
    </w:p>
    <w:p w:rsidR="00DA4FFF" w:rsidRDefault="00DA4FFF" w:rsidP="00DA4FFF">
      <w:pPr>
        <w:autoSpaceDE w:val="0"/>
        <w:autoSpaceDN w:val="0"/>
        <w:adjustRightInd w:val="0"/>
      </w:pPr>
    </w:p>
    <w:p w:rsidR="00182117" w:rsidRDefault="00182117" w:rsidP="00DA4FFF">
      <w:pPr>
        <w:autoSpaceDE w:val="0"/>
        <w:autoSpaceDN w:val="0"/>
        <w:adjustRightInd w:val="0"/>
      </w:pPr>
    </w:p>
    <w:p w:rsidR="00182117" w:rsidRDefault="00182117" w:rsidP="00DA4FFF">
      <w:pPr>
        <w:autoSpaceDE w:val="0"/>
        <w:autoSpaceDN w:val="0"/>
        <w:adjustRightInd w:val="0"/>
      </w:pPr>
    </w:p>
    <w:p w:rsidR="00182117" w:rsidRDefault="00182117" w:rsidP="00DA4FFF">
      <w:pPr>
        <w:autoSpaceDE w:val="0"/>
        <w:autoSpaceDN w:val="0"/>
        <w:adjustRightInd w:val="0"/>
      </w:pPr>
    </w:p>
    <w:p w:rsidR="00182117" w:rsidRPr="00342C4E" w:rsidRDefault="00182117" w:rsidP="00DA4FFF">
      <w:pPr>
        <w:autoSpaceDE w:val="0"/>
        <w:autoSpaceDN w:val="0"/>
        <w:adjustRightInd w:val="0"/>
      </w:pPr>
    </w:p>
    <w:tbl>
      <w:tblPr>
        <w:tblW w:w="0" w:type="auto"/>
        <w:jc w:val="center"/>
        <w:tblLook w:val="04A0" w:firstRow="1" w:lastRow="0" w:firstColumn="1" w:lastColumn="0" w:noHBand="0" w:noVBand="1"/>
      </w:tblPr>
      <w:tblGrid>
        <w:gridCol w:w="1180"/>
        <w:gridCol w:w="1462"/>
        <w:gridCol w:w="1117"/>
        <w:gridCol w:w="1228"/>
        <w:gridCol w:w="1095"/>
        <w:gridCol w:w="1451"/>
        <w:gridCol w:w="1362"/>
      </w:tblGrid>
      <w:tr w:rsidR="00DA4FFF" w:rsidRPr="00DA4FFF" w:rsidTr="00DA4FFF">
        <w:trPr>
          <w:jc w:val="center"/>
        </w:trPr>
        <w:tc>
          <w:tcPr>
            <w:tcW w:w="1180" w:type="dxa"/>
            <w:vMerge w:val="restart"/>
            <w:tcBorders>
              <w:top w:val="single" w:sz="4" w:space="0" w:color="auto"/>
            </w:tcBorders>
            <w:vAlign w:val="center"/>
          </w:tcPr>
          <w:p w:rsidR="00DA4FFF" w:rsidRPr="00DA4FFF" w:rsidRDefault="00DA4FFF" w:rsidP="00DA4FFF">
            <w:pPr>
              <w:jc w:val="center"/>
              <w:rPr>
                <w:sz w:val="20"/>
                <w:szCs w:val="20"/>
              </w:rPr>
            </w:pPr>
            <w:r w:rsidRPr="00DA4FFF">
              <w:rPr>
                <w:sz w:val="20"/>
                <w:szCs w:val="20"/>
              </w:rPr>
              <w:lastRenderedPageBreak/>
              <w:t>Ano</w:t>
            </w:r>
          </w:p>
        </w:tc>
        <w:tc>
          <w:tcPr>
            <w:tcW w:w="1462" w:type="dxa"/>
            <w:vMerge w:val="restart"/>
            <w:tcBorders>
              <w:top w:val="single" w:sz="4" w:space="0" w:color="auto"/>
            </w:tcBorders>
            <w:vAlign w:val="center"/>
          </w:tcPr>
          <w:p w:rsidR="00DA4FFF" w:rsidRPr="00DA4FFF" w:rsidRDefault="00DA4FFF" w:rsidP="00DA4FFF">
            <w:pPr>
              <w:jc w:val="center"/>
              <w:rPr>
                <w:sz w:val="20"/>
                <w:szCs w:val="20"/>
              </w:rPr>
            </w:pPr>
            <w:r w:rsidRPr="00DA4FFF">
              <w:rPr>
                <w:sz w:val="20"/>
                <w:szCs w:val="20"/>
              </w:rPr>
              <w:t xml:space="preserve">Concentração na faixa “até </w:t>
            </w:r>
            <w:proofErr w:type="gramStart"/>
            <w:r w:rsidRPr="00DA4FFF">
              <w:rPr>
                <w:sz w:val="20"/>
                <w:szCs w:val="20"/>
              </w:rPr>
              <w:t>3</w:t>
            </w:r>
            <w:proofErr w:type="gramEnd"/>
            <w:r w:rsidRPr="00DA4FFF">
              <w:rPr>
                <w:sz w:val="20"/>
                <w:szCs w:val="20"/>
              </w:rPr>
              <w:t xml:space="preserve"> salários mínimos”</w:t>
            </w:r>
          </w:p>
        </w:tc>
        <w:tc>
          <w:tcPr>
            <w:tcW w:w="4891" w:type="dxa"/>
            <w:gridSpan w:val="4"/>
            <w:tcBorders>
              <w:top w:val="single" w:sz="4" w:space="0" w:color="auto"/>
              <w:bottom w:val="single" w:sz="4" w:space="0" w:color="auto"/>
            </w:tcBorders>
            <w:vAlign w:val="center"/>
          </w:tcPr>
          <w:p w:rsidR="00DA4FFF" w:rsidRPr="00DA4FFF" w:rsidRDefault="00DA4FFF" w:rsidP="00DA4FFF">
            <w:pPr>
              <w:jc w:val="center"/>
              <w:rPr>
                <w:sz w:val="20"/>
                <w:szCs w:val="20"/>
              </w:rPr>
            </w:pPr>
            <w:r w:rsidRPr="00DA4FFF">
              <w:rPr>
                <w:sz w:val="20"/>
                <w:szCs w:val="20"/>
              </w:rPr>
              <w:t>Composição do déficit habitacional</w:t>
            </w:r>
          </w:p>
        </w:tc>
        <w:tc>
          <w:tcPr>
            <w:tcW w:w="1362" w:type="dxa"/>
            <w:vMerge w:val="restart"/>
            <w:tcBorders>
              <w:top w:val="single" w:sz="4" w:space="0" w:color="auto"/>
            </w:tcBorders>
          </w:tcPr>
          <w:p w:rsidR="00DA4FFF" w:rsidRPr="00DA4FFF" w:rsidRDefault="00DA4FFF" w:rsidP="00DA4FFF">
            <w:pPr>
              <w:jc w:val="center"/>
              <w:rPr>
                <w:sz w:val="20"/>
                <w:szCs w:val="20"/>
              </w:rPr>
            </w:pPr>
            <w:r w:rsidRPr="00DA4FFF">
              <w:rPr>
                <w:sz w:val="20"/>
                <w:szCs w:val="20"/>
              </w:rPr>
              <w:t>Domicílios inadequados</w:t>
            </w:r>
          </w:p>
        </w:tc>
      </w:tr>
      <w:tr w:rsidR="00DA4FFF" w:rsidRPr="00DA4FFF" w:rsidTr="00DA4FFF">
        <w:trPr>
          <w:jc w:val="center"/>
        </w:trPr>
        <w:tc>
          <w:tcPr>
            <w:tcW w:w="1180" w:type="dxa"/>
            <w:vMerge/>
            <w:tcBorders>
              <w:bottom w:val="single" w:sz="4" w:space="0" w:color="auto"/>
            </w:tcBorders>
          </w:tcPr>
          <w:p w:rsidR="00DA4FFF" w:rsidRPr="00DA4FFF" w:rsidRDefault="00DA4FFF" w:rsidP="00DA4FFF">
            <w:pPr>
              <w:rPr>
                <w:sz w:val="20"/>
                <w:szCs w:val="20"/>
              </w:rPr>
            </w:pPr>
          </w:p>
        </w:tc>
        <w:tc>
          <w:tcPr>
            <w:tcW w:w="1462" w:type="dxa"/>
            <w:vMerge/>
            <w:tcBorders>
              <w:bottom w:val="single" w:sz="4" w:space="0" w:color="auto"/>
            </w:tcBorders>
          </w:tcPr>
          <w:p w:rsidR="00DA4FFF" w:rsidRPr="00DA4FFF" w:rsidRDefault="00DA4FFF" w:rsidP="00DA4FFF">
            <w:pPr>
              <w:rPr>
                <w:sz w:val="20"/>
                <w:szCs w:val="20"/>
              </w:rPr>
            </w:pPr>
          </w:p>
        </w:tc>
        <w:tc>
          <w:tcPr>
            <w:tcW w:w="1117" w:type="dxa"/>
            <w:tcBorders>
              <w:top w:val="single" w:sz="4" w:space="0" w:color="auto"/>
              <w:bottom w:val="single" w:sz="4" w:space="0" w:color="auto"/>
            </w:tcBorders>
            <w:vAlign w:val="center"/>
          </w:tcPr>
          <w:p w:rsidR="00DA4FFF" w:rsidRPr="00DA4FFF" w:rsidRDefault="00DA4FFF" w:rsidP="00DA4FFF">
            <w:pPr>
              <w:jc w:val="center"/>
              <w:rPr>
                <w:sz w:val="20"/>
                <w:szCs w:val="20"/>
              </w:rPr>
            </w:pPr>
            <w:r w:rsidRPr="00DA4FFF">
              <w:rPr>
                <w:sz w:val="20"/>
                <w:szCs w:val="20"/>
              </w:rPr>
              <w:t>Habitação Precária</w:t>
            </w:r>
          </w:p>
        </w:tc>
        <w:tc>
          <w:tcPr>
            <w:tcW w:w="1228" w:type="dxa"/>
            <w:tcBorders>
              <w:top w:val="single" w:sz="4" w:space="0" w:color="auto"/>
              <w:bottom w:val="single" w:sz="4" w:space="0" w:color="auto"/>
            </w:tcBorders>
            <w:vAlign w:val="center"/>
          </w:tcPr>
          <w:p w:rsidR="00DA4FFF" w:rsidRPr="00DA4FFF" w:rsidRDefault="00DA4FFF" w:rsidP="00DA4FFF">
            <w:pPr>
              <w:jc w:val="center"/>
              <w:rPr>
                <w:sz w:val="20"/>
                <w:szCs w:val="20"/>
              </w:rPr>
            </w:pPr>
            <w:r w:rsidRPr="00DA4FFF">
              <w:rPr>
                <w:sz w:val="20"/>
                <w:szCs w:val="20"/>
              </w:rPr>
              <w:t>Coabitação Familiar</w:t>
            </w:r>
          </w:p>
        </w:tc>
        <w:tc>
          <w:tcPr>
            <w:tcW w:w="1095" w:type="dxa"/>
            <w:tcBorders>
              <w:top w:val="single" w:sz="4" w:space="0" w:color="auto"/>
              <w:bottom w:val="single" w:sz="4" w:space="0" w:color="auto"/>
            </w:tcBorders>
            <w:vAlign w:val="center"/>
          </w:tcPr>
          <w:p w:rsidR="00DA4FFF" w:rsidRPr="00DA4FFF" w:rsidRDefault="00DA4FFF" w:rsidP="00DA4FFF">
            <w:pPr>
              <w:jc w:val="center"/>
              <w:rPr>
                <w:sz w:val="20"/>
                <w:szCs w:val="20"/>
              </w:rPr>
            </w:pPr>
            <w:r w:rsidRPr="00DA4FFF">
              <w:rPr>
                <w:sz w:val="20"/>
                <w:szCs w:val="20"/>
              </w:rPr>
              <w:t>Ônus excessivo com aluguel</w:t>
            </w:r>
          </w:p>
        </w:tc>
        <w:tc>
          <w:tcPr>
            <w:tcW w:w="1451" w:type="dxa"/>
            <w:tcBorders>
              <w:top w:val="single" w:sz="4" w:space="0" w:color="auto"/>
              <w:bottom w:val="single" w:sz="4" w:space="0" w:color="auto"/>
            </w:tcBorders>
            <w:vAlign w:val="center"/>
          </w:tcPr>
          <w:p w:rsidR="00DA4FFF" w:rsidRPr="00DA4FFF" w:rsidRDefault="00DA4FFF" w:rsidP="00DA4FFF">
            <w:pPr>
              <w:jc w:val="center"/>
              <w:rPr>
                <w:sz w:val="20"/>
                <w:szCs w:val="20"/>
              </w:rPr>
            </w:pPr>
            <w:r w:rsidRPr="00DA4FFF">
              <w:rPr>
                <w:sz w:val="20"/>
                <w:szCs w:val="20"/>
              </w:rPr>
              <w:t>Adensamento excessivo</w:t>
            </w:r>
          </w:p>
        </w:tc>
        <w:tc>
          <w:tcPr>
            <w:tcW w:w="1362" w:type="dxa"/>
            <w:vMerge/>
            <w:tcBorders>
              <w:bottom w:val="single" w:sz="4" w:space="0" w:color="auto"/>
            </w:tcBorders>
          </w:tcPr>
          <w:p w:rsidR="00DA4FFF" w:rsidRPr="00DA4FFF" w:rsidRDefault="00DA4FFF" w:rsidP="00DA4FFF">
            <w:pPr>
              <w:rPr>
                <w:sz w:val="20"/>
                <w:szCs w:val="20"/>
              </w:rPr>
            </w:pPr>
          </w:p>
        </w:tc>
      </w:tr>
      <w:tr w:rsidR="00DA4FFF" w:rsidRPr="00DA4FFF" w:rsidTr="00DA4FFF">
        <w:trPr>
          <w:jc w:val="center"/>
        </w:trPr>
        <w:tc>
          <w:tcPr>
            <w:tcW w:w="1180" w:type="dxa"/>
            <w:tcBorders>
              <w:top w:val="single" w:sz="4" w:space="0" w:color="auto"/>
            </w:tcBorders>
            <w:vAlign w:val="center"/>
          </w:tcPr>
          <w:p w:rsidR="00DA4FFF" w:rsidRPr="00DA4FFF" w:rsidRDefault="00DA4FFF" w:rsidP="00DA4FFF">
            <w:pPr>
              <w:jc w:val="center"/>
              <w:rPr>
                <w:sz w:val="20"/>
                <w:szCs w:val="20"/>
              </w:rPr>
            </w:pPr>
            <w:r w:rsidRPr="00DA4FFF">
              <w:rPr>
                <w:sz w:val="20"/>
                <w:szCs w:val="20"/>
              </w:rPr>
              <w:t>2007</w:t>
            </w:r>
          </w:p>
        </w:tc>
        <w:tc>
          <w:tcPr>
            <w:tcW w:w="1462" w:type="dxa"/>
            <w:tcBorders>
              <w:top w:val="single" w:sz="4" w:space="0" w:color="auto"/>
            </w:tcBorders>
            <w:vAlign w:val="center"/>
          </w:tcPr>
          <w:p w:rsidR="00DA4FFF" w:rsidRPr="00DA4FFF" w:rsidRDefault="00DA4FFF" w:rsidP="00DA4FFF">
            <w:pPr>
              <w:jc w:val="center"/>
              <w:rPr>
                <w:sz w:val="20"/>
                <w:szCs w:val="20"/>
              </w:rPr>
            </w:pPr>
            <w:r w:rsidRPr="00DA4FFF">
              <w:rPr>
                <w:sz w:val="20"/>
                <w:szCs w:val="20"/>
              </w:rPr>
              <w:t>90,0%</w:t>
            </w:r>
          </w:p>
        </w:tc>
        <w:tc>
          <w:tcPr>
            <w:tcW w:w="1117" w:type="dxa"/>
            <w:tcBorders>
              <w:top w:val="single" w:sz="4" w:space="0" w:color="auto"/>
            </w:tcBorders>
            <w:vAlign w:val="center"/>
          </w:tcPr>
          <w:p w:rsidR="00DA4FFF" w:rsidRPr="00DA4FFF" w:rsidRDefault="00DA4FFF" w:rsidP="00DA4FFF">
            <w:pPr>
              <w:jc w:val="center"/>
              <w:rPr>
                <w:sz w:val="20"/>
                <w:szCs w:val="20"/>
              </w:rPr>
            </w:pPr>
            <w:r w:rsidRPr="00DA4FFF">
              <w:rPr>
                <w:sz w:val="20"/>
                <w:szCs w:val="20"/>
              </w:rPr>
              <w:t>20,72%</w:t>
            </w:r>
          </w:p>
        </w:tc>
        <w:tc>
          <w:tcPr>
            <w:tcW w:w="1228" w:type="dxa"/>
            <w:tcBorders>
              <w:top w:val="single" w:sz="4" w:space="0" w:color="auto"/>
            </w:tcBorders>
            <w:vAlign w:val="center"/>
          </w:tcPr>
          <w:p w:rsidR="00DA4FFF" w:rsidRPr="00DA4FFF" w:rsidRDefault="00DA4FFF" w:rsidP="00DA4FFF">
            <w:pPr>
              <w:jc w:val="center"/>
              <w:rPr>
                <w:sz w:val="20"/>
                <w:szCs w:val="20"/>
              </w:rPr>
            </w:pPr>
            <w:r w:rsidRPr="00DA4FFF">
              <w:rPr>
                <w:sz w:val="20"/>
                <w:szCs w:val="20"/>
              </w:rPr>
              <w:t>40,91%</w:t>
            </w:r>
          </w:p>
        </w:tc>
        <w:tc>
          <w:tcPr>
            <w:tcW w:w="1095" w:type="dxa"/>
            <w:tcBorders>
              <w:top w:val="single" w:sz="4" w:space="0" w:color="auto"/>
            </w:tcBorders>
            <w:vAlign w:val="center"/>
          </w:tcPr>
          <w:p w:rsidR="00DA4FFF" w:rsidRPr="00DA4FFF" w:rsidRDefault="00DA4FFF" w:rsidP="00DA4FFF">
            <w:pPr>
              <w:jc w:val="center"/>
              <w:rPr>
                <w:sz w:val="20"/>
                <w:szCs w:val="20"/>
              </w:rPr>
            </w:pPr>
            <w:r w:rsidRPr="00DA4FFF">
              <w:rPr>
                <w:sz w:val="20"/>
                <w:szCs w:val="20"/>
              </w:rPr>
              <w:t>32,56%</w:t>
            </w:r>
          </w:p>
        </w:tc>
        <w:tc>
          <w:tcPr>
            <w:tcW w:w="1451" w:type="dxa"/>
            <w:tcBorders>
              <w:top w:val="single" w:sz="4" w:space="0" w:color="auto"/>
            </w:tcBorders>
            <w:vAlign w:val="center"/>
          </w:tcPr>
          <w:p w:rsidR="00DA4FFF" w:rsidRPr="00DA4FFF" w:rsidRDefault="00DA4FFF" w:rsidP="00DA4FFF">
            <w:pPr>
              <w:jc w:val="center"/>
              <w:rPr>
                <w:sz w:val="20"/>
                <w:szCs w:val="20"/>
              </w:rPr>
            </w:pPr>
            <w:r w:rsidRPr="00DA4FFF">
              <w:rPr>
                <w:sz w:val="20"/>
                <w:szCs w:val="20"/>
              </w:rPr>
              <w:t>5,81%</w:t>
            </w:r>
          </w:p>
        </w:tc>
        <w:tc>
          <w:tcPr>
            <w:tcW w:w="1362" w:type="dxa"/>
            <w:tcBorders>
              <w:top w:val="single" w:sz="4" w:space="0" w:color="auto"/>
            </w:tcBorders>
            <w:vAlign w:val="center"/>
          </w:tcPr>
          <w:p w:rsidR="00DA4FFF" w:rsidRPr="00DA4FFF" w:rsidRDefault="00DA4FFF" w:rsidP="00DA4FFF">
            <w:pPr>
              <w:jc w:val="center"/>
              <w:rPr>
                <w:sz w:val="20"/>
                <w:szCs w:val="20"/>
              </w:rPr>
            </w:pPr>
            <w:r w:rsidRPr="00DA4FFF">
              <w:rPr>
                <w:sz w:val="20"/>
                <w:szCs w:val="20"/>
              </w:rPr>
              <w:t>21,90%</w:t>
            </w:r>
          </w:p>
        </w:tc>
      </w:tr>
      <w:tr w:rsidR="00DA4FFF" w:rsidRPr="00DA4FFF" w:rsidTr="00DA4FFF">
        <w:trPr>
          <w:jc w:val="center"/>
        </w:trPr>
        <w:tc>
          <w:tcPr>
            <w:tcW w:w="1180" w:type="dxa"/>
            <w:vAlign w:val="center"/>
          </w:tcPr>
          <w:p w:rsidR="00DA4FFF" w:rsidRPr="00DA4FFF" w:rsidRDefault="00DA4FFF" w:rsidP="00DA4FFF">
            <w:pPr>
              <w:jc w:val="center"/>
              <w:rPr>
                <w:sz w:val="20"/>
                <w:szCs w:val="20"/>
              </w:rPr>
            </w:pPr>
            <w:r w:rsidRPr="00DA4FFF">
              <w:rPr>
                <w:sz w:val="20"/>
                <w:szCs w:val="20"/>
              </w:rPr>
              <w:t>2008</w:t>
            </w:r>
          </w:p>
        </w:tc>
        <w:tc>
          <w:tcPr>
            <w:tcW w:w="1462" w:type="dxa"/>
            <w:vAlign w:val="center"/>
          </w:tcPr>
          <w:p w:rsidR="00DA4FFF" w:rsidRPr="00DA4FFF" w:rsidRDefault="00DA4FFF" w:rsidP="00DA4FFF">
            <w:pPr>
              <w:jc w:val="center"/>
              <w:rPr>
                <w:sz w:val="20"/>
                <w:szCs w:val="20"/>
              </w:rPr>
            </w:pPr>
            <w:r w:rsidRPr="00DA4FFF">
              <w:rPr>
                <w:sz w:val="20"/>
                <w:szCs w:val="20"/>
              </w:rPr>
              <w:t>89,6%</w:t>
            </w:r>
          </w:p>
        </w:tc>
        <w:tc>
          <w:tcPr>
            <w:tcW w:w="1117" w:type="dxa"/>
            <w:vAlign w:val="center"/>
          </w:tcPr>
          <w:p w:rsidR="00DA4FFF" w:rsidRPr="00DA4FFF" w:rsidRDefault="00DA4FFF" w:rsidP="00DA4FFF">
            <w:pPr>
              <w:jc w:val="center"/>
              <w:rPr>
                <w:sz w:val="20"/>
                <w:szCs w:val="20"/>
              </w:rPr>
            </w:pPr>
            <w:r w:rsidRPr="00DA4FFF">
              <w:rPr>
                <w:sz w:val="20"/>
                <w:szCs w:val="20"/>
              </w:rPr>
              <w:t>20,53%</w:t>
            </w:r>
          </w:p>
        </w:tc>
        <w:tc>
          <w:tcPr>
            <w:tcW w:w="1228" w:type="dxa"/>
            <w:vAlign w:val="center"/>
          </w:tcPr>
          <w:p w:rsidR="00DA4FFF" w:rsidRPr="00DA4FFF" w:rsidRDefault="00DA4FFF" w:rsidP="00DA4FFF">
            <w:pPr>
              <w:jc w:val="center"/>
              <w:rPr>
                <w:sz w:val="20"/>
                <w:szCs w:val="20"/>
              </w:rPr>
            </w:pPr>
            <w:r w:rsidRPr="00DA4FFF">
              <w:rPr>
                <w:sz w:val="20"/>
                <w:szCs w:val="20"/>
              </w:rPr>
              <w:t>39,34%</w:t>
            </w:r>
          </w:p>
        </w:tc>
        <w:tc>
          <w:tcPr>
            <w:tcW w:w="1095" w:type="dxa"/>
            <w:vAlign w:val="center"/>
          </w:tcPr>
          <w:p w:rsidR="00DA4FFF" w:rsidRPr="00DA4FFF" w:rsidRDefault="00DA4FFF" w:rsidP="00DA4FFF">
            <w:pPr>
              <w:jc w:val="center"/>
              <w:rPr>
                <w:sz w:val="20"/>
                <w:szCs w:val="20"/>
              </w:rPr>
            </w:pPr>
            <w:r w:rsidRPr="00DA4FFF">
              <w:rPr>
                <w:sz w:val="20"/>
                <w:szCs w:val="20"/>
              </w:rPr>
              <w:t>34,04%</w:t>
            </w:r>
          </w:p>
        </w:tc>
        <w:tc>
          <w:tcPr>
            <w:tcW w:w="1451" w:type="dxa"/>
            <w:vAlign w:val="center"/>
          </w:tcPr>
          <w:p w:rsidR="00DA4FFF" w:rsidRPr="00DA4FFF" w:rsidRDefault="00DA4FFF" w:rsidP="00DA4FFF">
            <w:pPr>
              <w:jc w:val="center"/>
              <w:rPr>
                <w:sz w:val="20"/>
                <w:szCs w:val="20"/>
              </w:rPr>
            </w:pPr>
            <w:r w:rsidRPr="00DA4FFF">
              <w:rPr>
                <w:sz w:val="20"/>
                <w:szCs w:val="20"/>
              </w:rPr>
              <w:t>6,08%</w:t>
            </w:r>
          </w:p>
        </w:tc>
        <w:tc>
          <w:tcPr>
            <w:tcW w:w="1362" w:type="dxa"/>
            <w:vAlign w:val="center"/>
          </w:tcPr>
          <w:p w:rsidR="00DA4FFF" w:rsidRPr="00DA4FFF" w:rsidRDefault="00DA4FFF" w:rsidP="00DA4FFF">
            <w:pPr>
              <w:jc w:val="center"/>
              <w:rPr>
                <w:sz w:val="20"/>
                <w:szCs w:val="20"/>
              </w:rPr>
            </w:pPr>
            <w:r w:rsidRPr="00DA4FFF">
              <w:rPr>
                <w:sz w:val="20"/>
                <w:szCs w:val="20"/>
              </w:rPr>
              <w:t>22,30%</w:t>
            </w:r>
          </w:p>
        </w:tc>
      </w:tr>
      <w:tr w:rsidR="00DA4FFF" w:rsidRPr="00DA4FFF" w:rsidTr="00DA4FFF">
        <w:trPr>
          <w:jc w:val="center"/>
        </w:trPr>
        <w:tc>
          <w:tcPr>
            <w:tcW w:w="1180" w:type="dxa"/>
            <w:vAlign w:val="center"/>
          </w:tcPr>
          <w:p w:rsidR="00DA4FFF" w:rsidRPr="00DA4FFF" w:rsidRDefault="00DA4FFF" w:rsidP="00DA4FFF">
            <w:pPr>
              <w:jc w:val="center"/>
              <w:rPr>
                <w:sz w:val="20"/>
                <w:szCs w:val="20"/>
              </w:rPr>
            </w:pPr>
            <w:r w:rsidRPr="00DA4FFF">
              <w:rPr>
                <w:sz w:val="20"/>
                <w:szCs w:val="20"/>
              </w:rPr>
              <w:t>2009</w:t>
            </w:r>
          </w:p>
        </w:tc>
        <w:tc>
          <w:tcPr>
            <w:tcW w:w="1462" w:type="dxa"/>
            <w:vAlign w:val="center"/>
          </w:tcPr>
          <w:p w:rsidR="00DA4FFF" w:rsidRPr="00DA4FFF" w:rsidRDefault="00DA4FFF" w:rsidP="00DA4FFF">
            <w:pPr>
              <w:jc w:val="center"/>
              <w:rPr>
                <w:sz w:val="20"/>
                <w:szCs w:val="20"/>
              </w:rPr>
            </w:pPr>
            <w:r w:rsidRPr="00DA4FFF">
              <w:rPr>
                <w:sz w:val="20"/>
                <w:szCs w:val="20"/>
              </w:rPr>
              <w:t>90,1%</w:t>
            </w:r>
          </w:p>
        </w:tc>
        <w:tc>
          <w:tcPr>
            <w:tcW w:w="1117" w:type="dxa"/>
            <w:vAlign w:val="center"/>
          </w:tcPr>
          <w:p w:rsidR="00DA4FFF" w:rsidRPr="00DA4FFF" w:rsidRDefault="00DA4FFF" w:rsidP="00DA4FFF">
            <w:pPr>
              <w:jc w:val="center"/>
              <w:rPr>
                <w:sz w:val="20"/>
                <w:szCs w:val="20"/>
              </w:rPr>
            </w:pPr>
            <w:r w:rsidRPr="00DA4FFF">
              <w:rPr>
                <w:sz w:val="20"/>
                <w:szCs w:val="20"/>
              </w:rPr>
              <w:t>17,74%</w:t>
            </w:r>
          </w:p>
        </w:tc>
        <w:tc>
          <w:tcPr>
            <w:tcW w:w="1228" w:type="dxa"/>
            <w:vAlign w:val="center"/>
          </w:tcPr>
          <w:p w:rsidR="00DA4FFF" w:rsidRPr="00DA4FFF" w:rsidRDefault="00DA4FFF" w:rsidP="00DA4FFF">
            <w:pPr>
              <w:jc w:val="center"/>
              <w:rPr>
                <w:sz w:val="20"/>
                <w:szCs w:val="20"/>
              </w:rPr>
            </w:pPr>
            <w:r w:rsidRPr="00DA4FFF">
              <w:rPr>
                <w:sz w:val="20"/>
                <w:szCs w:val="20"/>
              </w:rPr>
              <w:t>41,35%</w:t>
            </w:r>
          </w:p>
        </w:tc>
        <w:tc>
          <w:tcPr>
            <w:tcW w:w="1095" w:type="dxa"/>
            <w:vAlign w:val="center"/>
          </w:tcPr>
          <w:p w:rsidR="00DA4FFF" w:rsidRPr="00DA4FFF" w:rsidRDefault="00DA4FFF" w:rsidP="00DA4FFF">
            <w:pPr>
              <w:jc w:val="center"/>
              <w:rPr>
                <w:sz w:val="20"/>
                <w:szCs w:val="20"/>
              </w:rPr>
            </w:pPr>
            <w:r w:rsidRPr="00DA4FFF">
              <w:rPr>
                <w:sz w:val="20"/>
                <w:szCs w:val="20"/>
              </w:rPr>
              <w:t>34,81%</w:t>
            </w:r>
          </w:p>
        </w:tc>
        <w:tc>
          <w:tcPr>
            <w:tcW w:w="1451" w:type="dxa"/>
            <w:vAlign w:val="center"/>
          </w:tcPr>
          <w:p w:rsidR="00DA4FFF" w:rsidRPr="00DA4FFF" w:rsidRDefault="00DA4FFF" w:rsidP="00DA4FFF">
            <w:pPr>
              <w:jc w:val="center"/>
              <w:rPr>
                <w:sz w:val="20"/>
                <w:szCs w:val="20"/>
              </w:rPr>
            </w:pPr>
            <w:r w:rsidRPr="00DA4FFF">
              <w:rPr>
                <w:sz w:val="20"/>
                <w:szCs w:val="20"/>
              </w:rPr>
              <w:t>6,09%</w:t>
            </w:r>
          </w:p>
        </w:tc>
        <w:tc>
          <w:tcPr>
            <w:tcW w:w="1362" w:type="dxa"/>
            <w:vAlign w:val="center"/>
          </w:tcPr>
          <w:p w:rsidR="00DA4FFF" w:rsidRPr="00DA4FFF" w:rsidRDefault="00DA4FFF" w:rsidP="00DA4FFF">
            <w:pPr>
              <w:jc w:val="center"/>
              <w:rPr>
                <w:sz w:val="20"/>
                <w:szCs w:val="20"/>
              </w:rPr>
            </w:pPr>
            <w:r w:rsidRPr="00DA4FFF">
              <w:rPr>
                <w:sz w:val="20"/>
                <w:szCs w:val="20"/>
              </w:rPr>
              <w:t>23,0%</w:t>
            </w:r>
          </w:p>
        </w:tc>
      </w:tr>
      <w:tr w:rsidR="00DA4FFF" w:rsidRPr="00DA4FFF" w:rsidTr="00DA4FFF">
        <w:trPr>
          <w:jc w:val="center"/>
        </w:trPr>
        <w:tc>
          <w:tcPr>
            <w:tcW w:w="1180" w:type="dxa"/>
            <w:vAlign w:val="center"/>
          </w:tcPr>
          <w:p w:rsidR="00DA4FFF" w:rsidRPr="00DA4FFF" w:rsidRDefault="00DA4FFF" w:rsidP="00DA4FFF">
            <w:pPr>
              <w:jc w:val="center"/>
              <w:rPr>
                <w:sz w:val="20"/>
                <w:szCs w:val="20"/>
              </w:rPr>
            </w:pPr>
            <w:r w:rsidRPr="00DA4FFF">
              <w:rPr>
                <w:sz w:val="20"/>
                <w:szCs w:val="20"/>
              </w:rPr>
              <w:t>2010</w:t>
            </w:r>
          </w:p>
        </w:tc>
        <w:tc>
          <w:tcPr>
            <w:tcW w:w="1462" w:type="dxa"/>
            <w:vAlign w:val="center"/>
          </w:tcPr>
          <w:p w:rsidR="00DA4FFF" w:rsidRPr="00DA4FFF" w:rsidRDefault="00DA4FFF" w:rsidP="00DA4FFF">
            <w:pPr>
              <w:jc w:val="center"/>
              <w:rPr>
                <w:sz w:val="20"/>
                <w:szCs w:val="20"/>
              </w:rPr>
            </w:pPr>
            <w:r w:rsidRPr="00DA4FFF">
              <w:rPr>
                <w:sz w:val="20"/>
                <w:szCs w:val="20"/>
              </w:rPr>
              <w:t>69,1%</w:t>
            </w:r>
          </w:p>
        </w:tc>
        <w:tc>
          <w:tcPr>
            <w:tcW w:w="1117" w:type="dxa"/>
            <w:vAlign w:val="center"/>
          </w:tcPr>
          <w:p w:rsidR="00DA4FFF" w:rsidRPr="00DA4FFF" w:rsidRDefault="00DA4FFF" w:rsidP="00DA4FFF">
            <w:pPr>
              <w:jc w:val="center"/>
              <w:rPr>
                <w:sz w:val="20"/>
                <w:szCs w:val="20"/>
              </w:rPr>
            </w:pPr>
            <w:r w:rsidRPr="00DA4FFF">
              <w:rPr>
                <w:sz w:val="20"/>
                <w:szCs w:val="20"/>
              </w:rPr>
              <w:t>19,40%</w:t>
            </w:r>
          </w:p>
        </w:tc>
        <w:tc>
          <w:tcPr>
            <w:tcW w:w="1228" w:type="dxa"/>
            <w:vAlign w:val="center"/>
          </w:tcPr>
          <w:p w:rsidR="00DA4FFF" w:rsidRPr="00DA4FFF" w:rsidRDefault="00DA4FFF" w:rsidP="00DA4FFF">
            <w:pPr>
              <w:jc w:val="center"/>
              <w:rPr>
                <w:sz w:val="20"/>
                <w:szCs w:val="20"/>
              </w:rPr>
            </w:pPr>
            <w:r w:rsidRPr="00DA4FFF">
              <w:rPr>
                <w:sz w:val="20"/>
                <w:szCs w:val="20"/>
              </w:rPr>
              <w:t>43,10%</w:t>
            </w:r>
          </w:p>
        </w:tc>
        <w:tc>
          <w:tcPr>
            <w:tcW w:w="1095" w:type="dxa"/>
            <w:vAlign w:val="center"/>
          </w:tcPr>
          <w:p w:rsidR="00DA4FFF" w:rsidRPr="00DA4FFF" w:rsidRDefault="00DA4FFF" w:rsidP="00DA4FFF">
            <w:pPr>
              <w:jc w:val="center"/>
              <w:rPr>
                <w:sz w:val="20"/>
                <w:szCs w:val="20"/>
              </w:rPr>
            </w:pPr>
            <w:r w:rsidRPr="00DA4FFF">
              <w:rPr>
                <w:sz w:val="20"/>
                <w:szCs w:val="20"/>
              </w:rPr>
              <w:t>30,60%</w:t>
            </w:r>
          </w:p>
        </w:tc>
        <w:tc>
          <w:tcPr>
            <w:tcW w:w="1451" w:type="dxa"/>
            <w:vAlign w:val="center"/>
          </w:tcPr>
          <w:p w:rsidR="00DA4FFF" w:rsidRPr="00DA4FFF" w:rsidRDefault="00DA4FFF" w:rsidP="00DA4FFF">
            <w:pPr>
              <w:jc w:val="center"/>
              <w:rPr>
                <w:sz w:val="20"/>
                <w:szCs w:val="20"/>
              </w:rPr>
            </w:pPr>
            <w:r w:rsidRPr="00DA4FFF">
              <w:rPr>
                <w:sz w:val="20"/>
                <w:szCs w:val="20"/>
              </w:rPr>
              <w:t>6,90%</w:t>
            </w:r>
          </w:p>
        </w:tc>
        <w:tc>
          <w:tcPr>
            <w:tcW w:w="1362" w:type="dxa"/>
            <w:vAlign w:val="center"/>
          </w:tcPr>
          <w:p w:rsidR="00DA4FFF" w:rsidRPr="00DA4FFF" w:rsidRDefault="00DA4FFF" w:rsidP="00DA4FFF">
            <w:pPr>
              <w:jc w:val="center"/>
              <w:rPr>
                <w:sz w:val="20"/>
                <w:szCs w:val="20"/>
              </w:rPr>
            </w:pPr>
            <w:r w:rsidRPr="00DA4FFF">
              <w:rPr>
                <w:sz w:val="20"/>
                <w:szCs w:val="20"/>
              </w:rPr>
              <w:t>26,4%</w:t>
            </w:r>
          </w:p>
        </w:tc>
      </w:tr>
      <w:tr w:rsidR="00DA4FFF" w:rsidRPr="00DA4FFF" w:rsidTr="00DA4FFF">
        <w:trPr>
          <w:jc w:val="center"/>
        </w:trPr>
        <w:tc>
          <w:tcPr>
            <w:tcW w:w="1180" w:type="dxa"/>
            <w:vAlign w:val="center"/>
          </w:tcPr>
          <w:p w:rsidR="00DA4FFF" w:rsidRPr="00DA4FFF" w:rsidRDefault="00DA4FFF" w:rsidP="00DA4FFF">
            <w:pPr>
              <w:jc w:val="center"/>
              <w:rPr>
                <w:sz w:val="20"/>
                <w:szCs w:val="20"/>
              </w:rPr>
            </w:pPr>
            <w:r w:rsidRPr="00DA4FFF">
              <w:rPr>
                <w:sz w:val="20"/>
                <w:szCs w:val="20"/>
              </w:rPr>
              <w:t>2011</w:t>
            </w:r>
          </w:p>
        </w:tc>
        <w:tc>
          <w:tcPr>
            <w:tcW w:w="1462" w:type="dxa"/>
            <w:vAlign w:val="center"/>
          </w:tcPr>
          <w:p w:rsidR="00DA4FFF" w:rsidRPr="00DA4FFF" w:rsidRDefault="00DA4FFF" w:rsidP="00DA4FFF">
            <w:pPr>
              <w:jc w:val="center"/>
              <w:rPr>
                <w:sz w:val="20"/>
                <w:szCs w:val="20"/>
              </w:rPr>
            </w:pPr>
            <w:r w:rsidRPr="00DA4FFF">
              <w:rPr>
                <w:sz w:val="20"/>
                <w:szCs w:val="20"/>
              </w:rPr>
              <w:t>81,0%</w:t>
            </w:r>
          </w:p>
        </w:tc>
        <w:tc>
          <w:tcPr>
            <w:tcW w:w="1117" w:type="dxa"/>
            <w:vAlign w:val="center"/>
          </w:tcPr>
          <w:p w:rsidR="00DA4FFF" w:rsidRPr="00DA4FFF" w:rsidRDefault="00DA4FFF" w:rsidP="00DA4FFF">
            <w:pPr>
              <w:jc w:val="center"/>
              <w:rPr>
                <w:sz w:val="20"/>
                <w:szCs w:val="20"/>
              </w:rPr>
            </w:pPr>
            <w:r w:rsidRPr="00DA4FFF">
              <w:rPr>
                <w:sz w:val="20"/>
                <w:szCs w:val="20"/>
              </w:rPr>
              <w:t>21,30%</w:t>
            </w:r>
          </w:p>
        </w:tc>
        <w:tc>
          <w:tcPr>
            <w:tcW w:w="1228" w:type="dxa"/>
            <w:vAlign w:val="center"/>
          </w:tcPr>
          <w:p w:rsidR="00DA4FFF" w:rsidRPr="00DA4FFF" w:rsidRDefault="00DA4FFF" w:rsidP="00DA4FFF">
            <w:pPr>
              <w:jc w:val="center"/>
              <w:rPr>
                <w:sz w:val="20"/>
                <w:szCs w:val="20"/>
              </w:rPr>
            </w:pPr>
            <w:r w:rsidRPr="00DA4FFF">
              <w:rPr>
                <w:sz w:val="20"/>
                <w:szCs w:val="20"/>
              </w:rPr>
              <w:t>34,30%</w:t>
            </w:r>
          </w:p>
        </w:tc>
        <w:tc>
          <w:tcPr>
            <w:tcW w:w="1095" w:type="dxa"/>
            <w:vAlign w:val="center"/>
          </w:tcPr>
          <w:p w:rsidR="00DA4FFF" w:rsidRPr="00DA4FFF" w:rsidRDefault="00DA4FFF" w:rsidP="00DA4FFF">
            <w:pPr>
              <w:jc w:val="center"/>
              <w:rPr>
                <w:sz w:val="20"/>
                <w:szCs w:val="20"/>
              </w:rPr>
            </w:pPr>
            <w:r w:rsidRPr="00DA4FFF">
              <w:rPr>
                <w:sz w:val="20"/>
                <w:szCs w:val="20"/>
              </w:rPr>
              <w:t>37,50%</w:t>
            </w:r>
          </w:p>
        </w:tc>
        <w:tc>
          <w:tcPr>
            <w:tcW w:w="1451" w:type="dxa"/>
            <w:vAlign w:val="center"/>
          </w:tcPr>
          <w:p w:rsidR="00DA4FFF" w:rsidRPr="00DA4FFF" w:rsidRDefault="00DA4FFF" w:rsidP="00DA4FFF">
            <w:pPr>
              <w:jc w:val="center"/>
              <w:rPr>
                <w:sz w:val="20"/>
                <w:szCs w:val="20"/>
              </w:rPr>
            </w:pPr>
            <w:r w:rsidRPr="00DA4FFF">
              <w:rPr>
                <w:sz w:val="20"/>
                <w:szCs w:val="20"/>
              </w:rPr>
              <w:t>6,90%</w:t>
            </w:r>
          </w:p>
        </w:tc>
        <w:tc>
          <w:tcPr>
            <w:tcW w:w="1362" w:type="dxa"/>
            <w:vAlign w:val="center"/>
          </w:tcPr>
          <w:p w:rsidR="00DA4FFF" w:rsidRPr="00DA4FFF" w:rsidRDefault="00DA4FFF" w:rsidP="00DA4FFF">
            <w:pPr>
              <w:jc w:val="center"/>
              <w:rPr>
                <w:sz w:val="20"/>
                <w:szCs w:val="20"/>
              </w:rPr>
            </w:pPr>
            <w:r w:rsidRPr="00DA4FFF">
              <w:rPr>
                <w:sz w:val="20"/>
                <w:szCs w:val="20"/>
              </w:rPr>
              <w:t>19,0%</w:t>
            </w:r>
          </w:p>
        </w:tc>
      </w:tr>
      <w:tr w:rsidR="00DA4FFF" w:rsidRPr="00DA4FFF" w:rsidTr="00DA4FFF">
        <w:trPr>
          <w:jc w:val="center"/>
        </w:trPr>
        <w:tc>
          <w:tcPr>
            <w:tcW w:w="1180" w:type="dxa"/>
            <w:vAlign w:val="center"/>
          </w:tcPr>
          <w:p w:rsidR="00DA4FFF" w:rsidRPr="00DA4FFF" w:rsidRDefault="00DA4FFF" w:rsidP="00DA4FFF">
            <w:pPr>
              <w:jc w:val="center"/>
              <w:rPr>
                <w:sz w:val="20"/>
                <w:szCs w:val="20"/>
              </w:rPr>
            </w:pPr>
            <w:r w:rsidRPr="00DA4FFF">
              <w:rPr>
                <w:sz w:val="20"/>
                <w:szCs w:val="20"/>
              </w:rPr>
              <w:t>2012</w:t>
            </w:r>
          </w:p>
        </w:tc>
        <w:tc>
          <w:tcPr>
            <w:tcW w:w="1462" w:type="dxa"/>
            <w:vAlign w:val="center"/>
          </w:tcPr>
          <w:p w:rsidR="00DA4FFF" w:rsidRPr="00DA4FFF" w:rsidRDefault="00DA4FFF" w:rsidP="00DA4FFF">
            <w:pPr>
              <w:jc w:val="center"/>
              <w:rPr>
                <w:sz w:val="20"/>
                <w:szCs w:val="20"/>
              </w:rPr>
            </w:pPr>
            <w:r w:rsidRPr="00DA4FFF">
              <w:rPr>
                <w:sz w:val="20"/>
                <w:szCs w:val="20"/>
              </w:rPr>
              <w:t>82,5%</w:t>
            </w:r>
          </w:p>
        </w:tc>
        <w:tc>
          <w:tcPr>
            <w:tcW w:w="1117" w:type="dxa"/>
            <w:vAlign w:val="center"/>
          </w:tcPr>
          <w:p w:rsidR="00DA4FFF" w:rsidRPr="00DA4FFF" w:rsidRDefault="00DA4FFF" w:rsidP="00DA4FFF">
            <w:pPr>
              <w:jc w:val="center"/>
              <w:rPr>
                <w:sz w:val="20"/>
                <w:szCs w:val="20"/>
              </w:rPr>
            </w:pPr>
            <w:r w:rsidRPr="00DA4FFF">
              <w:rPr>
                <w:sz w:val="20"/>
                <w:szCs w:val="20"/>
              </w:rPr>
              <w:t>16,30%</w:t>
            </w:r>
          </w:p>
        </w:tc>
        <w:tc>
          <w:tcPr>
            <w:tcW w:w="1228" w:type="dxa"/>
            <w:vAlign w:val="center"/>
          </w:tcPr>
          <w:p w:rsidR="00DA4FFF" w:rsidRPr="00DA4FFF" w:rsidRDefault="00DA4FFF" w:rsidP="00DA4FFF">
            <w:pPr>
              <w:jc w:val="center"/>
              <w:rPr>
                <w:sz w:val="20"/>
                <w:szCs w:val="20"/>
              </w:rPr>
            </w:pPr>
            <w:r w:rsidRPr="00DA4FFF">
              <w:rPr>
                <w:sz w:val="20"/>
                <w:szCs w:val="20"/>
              </w:rPr>
              <w:t>34,40%</w:t>
            </w:r>
          </w:p>
        </w:tc>
        <w:tc>
          <w:tcPr>
            <w:tcW w:w="1095" w:type="dxa"/>
            <w:vAlign w:val="center"/>
          </w:tcPr>
          <w:p w:rsidR="00DA4FFF" w:rsidRPr="00DA4FFF" w:rsidRDefault="00DA4FFF" w:rsidP="00DA4FFF">
            <w:pPr>
              <w:jc w:val="center"/>
              <w:rPr>
                <w:sz w:val="20"/>
                <w:szCs w:val="20"/>
              </w:rPr>
            </w:pPr>
            <w:r w:rsidRPr="00DA4FFF">
              <w:rPr>
                <w:sz w:val="20"/>
                <w:szCs w:val="20"/>
              </w:rPr>
              <w:t>42,50%</w:t>
            </w:r>
          </w:p>
        </w:tc>
        <w:tc>
          <w:tcPr>
            <w:tcW w:w="1451" w:type="dxa"/>
            <w:vAlign w:val="center"/>
          </w:tcPr>
          <w:p w:rsidR="00DA4FFF" w:rsidRPr="00DA4FFF" w:rsidRDefault="00DA4FFF" w:rsidP="00DA4FFF">
            <w:pPr>
              <w:jc w:val="center"/>
              <w:rPr>
                <w:sz w:val="20"/>
                <w:szCs w:val="20"/>
              </w:rPr>
            </w:pPr>
            <w:r w:rsidRPr="00DA4FFF">
              <w:rPr>
                <w:sz w:val="20"/>
                <w:szCs w:val="20"/>
              </w:rPr>
              <w:t>6,80%</w:t>
            </w:r>
          </w:p>
        </w:tc>
        <w:tc>
          <w:tcPr>
            <w:tcW w:w="1362" w:type="dxa"/>
            <w:vAlign w:val="center"/>
          </w:tcPr>
          <w:p w:rsidR="00DA4FFF" w:rsidRPr="00DA4FFF" w:rsidRDefault="00DA4FFF" w:rsidP="00DA4FFF">
            <w:pPr>
              <w:jc w:val="center"/>
              <w:rPr>
                <w:sz w:val="20"/>
                <w:szCs w:val="20"/>
              </w:rPr>
            </w:pPr>
            <w:r w:rsidRPr="00DA4FFF">
              <w:rPr>
                <w:sz w:val="20"/>
                <w:szCs w:val="20"/>
              </w:rPr>
              <w:t>18,7%</w:t>
            </w:r>
          </w:p>
        </w:tc>
      </w:tr>
      <w:tr w:rsidR="00DA4FFF" w:rsidRPr="00DA4FFF" w:rsidTr="00342C4E">
        <w:trPr>
          <w:jc w:val="center"/>
        </w:trPr>
        <w:tc>
          <w:tcPr>
            <w:tcW w:w="1180" w:type="dxa"/>
            <w:vAlign w:val="center"/>
          </w:tcPr>
          <w:p w:rsidR="00DA4FFF" w:rsidRPr="00DA4FFF" w:rsidRDefault="00DA4FFF" w:rsidP="00DA4FFF">
            <w:pPr>
              <w:jc w:val="center"/>
              <w:rPr>
                <w:sz w:val="20"/>
                <w:szCs w:val="20"/>
              </w:rPr>
            </w:pPr>
            <w:r w:rsidRPr="00DA4FFF">
              <w:rPr>
                <w:sz w:val="20"/>
                <w:szCs w:val="20"/>
              </w:rPr>
              <w:t>2013</w:t>
            </w:r>
          </w:p>
        </w:tc>
        <w:tc>
          <w:tcPr>
            <w:tcW w:w="1462" w:type="dxa"/>
            <w:vAlign w:val="center"/>
          </w:tcPr>
          <w:p w:rsidR="00DA4FFF" w:rsidRPr="00DA4FFF" w:rsidRDefault="00DA4FFF" w:rsidP="00DA4FFF">
            <w:pPr>
              <w:jc w:val="center"/>
              <w:rPr>
                <w:sz w:val="20"/>
                <w:szCs w:val="20"/>
              </w:rPr>
            </w:pPr>
            <w:r w:rsidRPr="00DA4FFF">
              <w:rPr>
                <w:sz w:val="20"/>
                <w:szCs w:val="20"/>
              </w:rPr>
              <w:t>83,4%</w:t>
            </w:r>
          </w:p>
        </w:tc>
        <w:tc>
          <w:tcPr>
            <w:tcW w:w="1117" w:type="dxa"/>
            <w:vAlign w:val="center"/>
          </w:tcPr>
          <w:p w:rsidR="00DA4FFF" w:rsidRPr="00DA4FFF" w:rsidRDefault="00DA4FFF" w:rsidP="00DA4FFF">
            <w:pPr>
              <w:jc w:val="center"/>
              <w:rPr>
                <w:sz w:val="20"/>
                <w:szCs w:val="20"/>
              </w:rPr>
            </w:pPr>
            <w:r w:rsidRPr="00DA4FFF">
              <w:rPr>
                <w:sz w:val="20"/>
                <w:szCs w:val="20"/>
              </w:rPr>
              <w:t>17,10%</w:t>
            </w:r>
          </w:p>
        </w:tc>
        <w:tc>
          <w:tcPr>
            <w:tcW w:w="1228" w:type="dxa"/>
            <w:vAlign w:val="center"/>
          </w:tcPr>
          <w:p w:rsidR="00DA4FFF" w:rsidRPr="00DA4FFF" w:rsidRDefault="00DA4FFF" w:rsidP="00DA4FFF">
            <w:pPr>
              <w:jc w:val="center"/>
              <w:rPr>
                <w:sz w:val="20"/>
                <w:szCs w:val="20"/>
              </w:rPr>
            </w:pPr>
            <w:r w:rsidRPr="00DA4FFF">
              <w:rPr>
                <w:sz w:val="20"/>
                <w:szCs w:val="20"/>
              </w:rPr>
              <w:t>32,60%</w:t>
            </w:r>
          </w:p>
        </w:tc>
        <w:tc>
          <w:tcPr>
            <w:tcW w:w="1095" w:type="dxa"/>
            <w:vAlign w:val="center"/>
          </w:tcPr>
          <w:p w:rsidR="00DA4FFF" w:rsidRPr="00DA4FFF" w:rsidRDefault="00DA4FFF" w:rsidP="00DA4FFF">
            <w:pPr>
              <w:jc w:val="center"/>
              <w:rPr>
                <w:sz w:val="20"/>
                <w:szCs w:val="20"/>
              </w:rPr>
            </w:pPr>
            <w:r w:rsidRPr="00DA4FFF">
              <w:rPr>
                <w:sz w:val="20"/>
                <w:szCs w:val="20"/>
              </w:rPr>
              <w:t>43,70%</w:t>
            </w:r>
          </w:p>
        </w:tc>
        <w:tc>
          <w:tcPr>
            <w:tcW w:w="1451" w:type="dxa"/>
            <w:vAlign w:val="center"/>
          </w:tcPr>
          <w:p w:rsidR="00DA4FFF" w:rsidRPr="00DA4FFF" w:rsidRDefault="00DA4FFF" w:rsidP="00DA4FFF">
            <w:pPr>
              <w:jc w:val="center"/>
              <w:rPr>
                <w:sz w:val="20"/>
                <w:szCs w:val="20"/>
              </w:rPr>
            </w:pPr>
            <w:r w:rsidRPr="00DA4FFF">
              <w:rPr>
                <w:sz w:val="20"/>
                <w:szCs w:val="20"/>
              </w:rPr>
              <w:t>6,70%</w:t>
            </w:r>
          </w:p>
        </w:tc>
        <w:tc>
          <w:tcPr>
            <w:tcW w:w="1362" w:type="dxa"/>
            <w:vAlign w:val="center"/>
          </w:tcPr>
          <w:p w:rsidR="00DA4FFF" w:rsidRPr="00DA4FFF" w:rsidRDefault="00DA4FFF" w:rsidP="00DA4FFF">
            <w:pPr>
              <w:jc w:val="center"/>
              <w:rPr>
                <w:sz w:val="20"/>
                <w:szCs w:val="20"/>
              </w:rPr>
            </w:pPr>
            <w:r w:rsidRPr="00DA4FFF">
              <w:rPr>
                <w:sz w:val="20"/>
                <w:szCs w:val="20"/>
              </w:rPr>
              <w:t>19,8%</w:t>
            </w:r>
          </w:p>
        </w:tc>
      </w:tr>
      <w:tr w:rsidR="00DA4FFF" w:rsidRPr="00DA4FFF" w:rsidTr="00342C4E">
        <w:trPr>
          <w:trHeight w:val="80"/>
          <w:jc w:val="center"/>
        </w:trPr>
        <w:tc>
          <w:tcPr>
            <w:tcW w:w="1180" w:type="dxa"/>
            <w:tcBorders>
              <w:bottom w:val="single" w:sz="4" w:space="0" w:color="auto"/>
            </w:tcBorders>
            <w:vAlign w:val="center"/>
          </w:tcPr>
          <w:p w:rsidR="00DA4FFF" w:rsidRPr="00DA4FFF" w:rsidRDefault="00DA4FFF" w:rsidP="00DA4FFF">
            <w:pPr>
              <w:jc w:val="center"/>
              <w:rPr>
                <w:sz w:val="20"/>
                <w:szCs w:val="20"/>
              </w:rPr>
            </w:pPr>
            <w:r w:rsidRPr="00DA4FFF">
              <w:rPr>
                <w:sz w:val="20"/>
                <w:szCs w:val="20"/>
              </w:rPr>
              <w:t>2014</w:t>
            </w:r>
          </w:p>
        </w:tc>
        <w:tc>
          <w:tcPr>
            <w:tcW w:w="1462" w:type="dxa"/>
            <w:tcBorders>
              <w:bottom w:val="single" w:sz="4" w:space="0" w:color="auto"/>
            </w:tcBorders>
            <w:vAlign w:val="center"/>
          </w:tcPr>
          <w:p w:rsidR="00DA4FFF" w:rsidRPr="00DA4FFF" w:rsidRDefault="00DA4FFF" w:rsidP="00DA4FFF">
            <w:pPr>
              <w:jc w:val="center"/>
              <w:rPr>
                <w:sz w:val="20"/>
                <w:szCs w:val="20"/>
              </w:rPr>
            </w:pPr>
            <w:r w:rsidRPr="00DA4FFF">
              <w:rPr>
                <w:sz w:val="20"/>
                <w:szCs w:val="20"/>
              </w:rPr>
              <w:t>83,9%</w:t>
            </w:r>
          </w:p>
        </w:tc>
        <w:tc>
          <w:tcPr>
            <w:tcW w:w="1117" w:type="dxa"/>
            <w:tcBorders>
              <w:bottom w:val="single" w:sz="4" w:space="0" w:color="auto"/>
            </w:tcBorders>
            <w:vAlign w:val="center"/>
          </w:tcPr>
          <w:p w:rsidR="00DA4FFF" w:rsidRPr="00DA4FFF" w:rsidRDefault="00DA4FFF" w:rsidP="00DA4FFF">
            <w:pPr>
              <w:jc w:val="center"/>
              <w:rPr>
                <w:sz w:val="20"/>
                <w:szCs w:val="20"/>
              </w:rPr>
            </w:pPr>
            <w:r w:rsidRPr="00DA4FFF">
              <w:rPr>
                <w:sz w:val="20"/>
                <w:szCs w:val="20"/>
              </w:rPr>
              <w:t>14,20%</w:t>
            </w:r>
          </w:p>
        </w:tc>
        <w:tc>
          <w:tcPr>
            <w:tcW w:w="1228" w:type="dxa"/>
            <w:tcBorders>
              <w:bottom w:val="single" w:sz="4" w:space="0" w:color="auto"/>
            </w:tcBorders>
            <w:vAlign w:val="center"/>
          </w:tcPr>
          <w:p w:rsidR="00DA4FFF" w:rsidRPr="00DA4FFF" w:rsidRDefault="00DA4FFF" w:rsidP="00DA4FFF">
            <w:pPr>
              <w:jc w:val="center"/>
              <w:rPr>
                <w:sz w:val="20"/>
                <w:szCs w:val="20"/>
              </w:rPr>
            </w:pPr>
            <w:r w:rsidRPr="00DA4FFF">
              <w:rPr>
                <w:sz w:val="20"/>
                <w:szCs w:val="20"/>
              </w:rPr>
              <w:t>31,50%</w:t>
            </w:r>
          </w:p>
        </w:tc>
        <w:tc>
          <w:tcPr>
            <w:tcW w:w="1095" w:type="dxa"/>
            <w:tcBorders>
              <w:bottom w:val="single" w:sz="4" w:space="0" w:color="auto"/>
            </w:tcBorders>
            <w:vAlign w:val="center"/>
          </w:tcPr>
          <w:p w:rsidR="00DA4FFF" w:rsidRPr="00DA4FFF" w:rsidRDefault="00DA4FFF" w:rsidP="00DA4FFF">
            <w:pPr>
              <w:jc w:val="center"/>
              <w:rPr>
                <w:sz w:val="20"/>
                <w:szCs w:val="20"/>
              </w:rPr>
            </w:pPr>
            <w:r w:rsidRPr="00DA4FFF">
              <w:rPr>
                <w:sz w:val="20"/>
                <w:szCs w:val="20"/>
              </w:rPr>
              <w:t>48,20%</w:t>
            </w:r>
          </w:p>
        </w:tc>
        <w:tc>
          <w:tcPr>
            <w:tcW w:w="1451" w:type="dxa"/>
            <w:tcBorders>
              <w:bottom w:val="single" w:sz="4" w:space="0" w:color="auto"/>
            </w:tcBorders>
            <w:vAlign w:val="center"/>
          </w:tcPr>
          <w:p w:rsidR="00DA4FFF" w:rsidRPr="00DA4FFF" w:rsidRDefault="00DA4FFF" w:rsidP="00DA4FFF">
            <w:pPr>
              <w:jc w:val="center"/>
              <w:rPr>
                <w:sz w:val="20"/>
                <w:szCs w:val="20"/>
              </w:rPr>
            </w:pPr>
            <w:r w:rsidRPr="00DA4FFF">
              <w:rPr>
                <w:sz w:val="20"/>
                <w:szCs w:val="20"/>
              </w:rPr>
              <w:t>6,00%</w:t>
            </w:r>
          </w:p>
        </w:tc>
        <w:tc>
          <w:tcPr>
            <w:tcW w:w="1362" w:type="dxa"/>
            <w:tcBorders>
              <w:bottom w:val="single" w:sz="4" w:space="0" w:color="auto"/>
            </w:tcBorders>
            <w:vAlign w:val="center"/>
          </w:tcPr>
          <w:p w:rsidR="00DA4FFF" w:rsidRPr="00DA4FFF" w:rsidRDefault="00DA4FFF" w:rsidP="00DA4FFF">
            <w:pPr>
              <w:jc w:val="center"/>
              <w:rPr>
                <w:sz w:val="20"/>
                <w:szCs w:val="20"/>
              </w:rPr>
            </w:pPr>
            <w:r w:rsidRPr="00DA4FFF">
              <w:rPr>
                <w:sz w:val="20"/>
                <w:szCs w:val="20"/>
              </w:rPr>
              <w:t>19,5%</w:t>
            </w:r>
          </w:p>
        </w:tc>
      </w:tr>
      <w:tr w:rsidR="00342C4E" w:rsidRPr="00DA4FFF" w:rsidTr="009817B1">
        <w:trPr>
          <w:trHeight w:val="80"/>
          <w:jc w:val="center"/>
        </w:trPr>
        <w:tc>
          <w:tcPr>
            <w:tcW w:w="8895" w:type="dxa"/>
            <w:gridSpan w:val="7"/>
            <w:tcBorders>
              <w:top w:val="single" w:sz="4" w:space="0" w:color="auto"/>
            </w:tcBorders>
            <w:vAlign w:val="center"/>
          </w:tcPr>
          <w:p w:rsidR="00342C4E" w:rsidRPr="00DA4FFF" w:rsidRDefault="00342C4E" w:rsidP="00342C4E">
            <w:pPr>
              <w:autoSpaceDE w:val="0"/>
              <w:autoSpaceDN w:val="0"/>
              <w:adjustRightInd w:val="0"/>
              <w:rPr>
                <w:sz w:val="20"/>
                <w:szCs w:val="20"/>
              </w:rPr>
            </w:pPr>
            <w:r w:rsidRPr="00DA4FFF">
              <w:rPr>
                <w:sz w:val="20"/>
                <w:szCs w:val="20"/>
              </w:rPr>
              <w:t>Fonte: FJP – Estudos sobre déficit habitacional de 2007; 2008; 20</w:t>
            </w:r>
            <w:r>
              <w:rPr>
                <w:sz w:val="20"/>
                <w:szCs w:val="20"/>
              </w:rPr>
              <w:t>09; 2010; 2011-2012 e 2013-</w:t>
            </w:r>
            <w:proofErr w:type="gramStart"/>
            <w:r>
              <w:rPr>
                <w:sz w:val="20"/>
                <w:szCs w:val="20"/>
              </w:rPr>
              <w:t>2014</w:t>
            </w:r>
            <w:proofErr w:type="gramEnd"/>
          </w:p>
        </w:tc>
      </w:tr>
    </w:tbl>
    <w:p w:rsidR="00DA4FFF" w:rsidRDefault="00342C4E" w:rsidP="00342C4E">
      <w:pPr>
        <w:autoSpaceDE w:val="0"/>
        <w:autoSpaceDN w:val="0"/>
        <w:adjustRightInd w:val="0"/>
        <w:spacing w:before="120" w:after="120"/>
        <w:jc w:val="center"/>
        <w:rPr>
          <w:sz w:val="20"/>
          <w:szCs w:val="20"/>
        </w:rPr>
      </w:pPr>
      <w:r w:rsidRPr="00DA4FFF">
        <w:rPr>
          <w:sz w:val="20"/>
          <w:szCs w:val="20"/>
        </w:rPr>
        <w:t xml:space="preserve">Tabela </w:t>
      </w:r>
      <w:r w:rsidRPr="00DA4FFF">
        <w:rPr>
          <w:sz w:val="20"/>
          <w:szCs w:val="20"/>
        </w:rPr>
        <w:fldChar w:fldCharType="begin"/>
      </w:r>
      <w:r w:rsidRPr="00DA4FFF">
        <w:rPr>
          <w:sz w:val="20"/>
          <w:szCs w:val="20"/>
        </w:rPr>
        <w:instrText xml:space="preserve"> SEQ Tabela \* ARABIC </w:instrText>
      </w:r>
      <w:r w:rsidRPr="00DA4FFF">
        <w:rPr>
          <w:sz w:val="20"/>
          <w:szCs w:val="20"/>
        </w:rPr>
        <w:fldChar w:fldCharType="separate"/>
      </w:r>
      <w:r w:rsidRPr="00DA4FFF">
        <w:rPr>
          <w:noProof/>
          <w:sz w:val="20"/>
          <w:szCs w:val="20"/>
        </w:rPr>
        <w:t>1</w:t>
      </w:r>
      <w:r w:rsidRPr="00DA4FFF">
        <w:rPr>
          <w:noProof/>
          <w:sz w:val="20"/>
          <w:szCs w:val="20"/>
        </w:rPr>
        <w:fldChar w:fldCharType="end"/>
      </w:r>
      <w:r w:rsidRPr="00DA4FFF">
        <w:rPr>
          <w:sz w:val="20"/>
          <w:szCs w:val="20"/>
        </w:rPr>
        <w:t xml:space="preserve"> - </w:t>
      </w:r>
      <w:r w:rsidRPr="00DA4FFF">
        <w:rPr>
          <w:rFonts w:eastAsiaTheme="minorHAnsi"/>
          <w:sz w:val="20"/>
          <w:szCs w:val="20"/>
        </w:rPr>
        <w:t>Déficit Habitacional no Brasil X Inadequação de Moradias</w:t>
      </w:r>
      <w:r w:rsidRPr="00DA4FFF">
        <w:rPr>
          <w:sz w:val="20"/>
          <w:szCs w:val="20"/>
        </w:rPr>
        <w:t xml:space="preserve"> 2007 </w:t>
      </w:r>
      <w:r>
        <w:rPr>
          <w:sz w:val="20"/>
          <w:szCs w:val="20"/>
        </w:rPr>
        <w:t>–</w:t>
      </w:r>
      <w:r w:rsidRPr="00DA4FFF">
        <w:rPr>
          <w:sz w:val="20"/>
          <w:szCs w:val="20"/>
        </w:rPr>
        <w:t xml:space="preserve"> 2014</w:t>
      </w:r>
    </w:p>
    <w:p w:rsidR="00342C4E" w:rsidRPr="00DA4FFF" w:rsidRDefault="00342C4E" w:rsidP="00342C4E">
      <w:pPr>
        <w:autoSpaceDE w:val="0"/>
        <w:autoSpaceDN w:val="0"/>
        <w:adjustRightInd w:val="0"/>
        <w:jc w:val="center"/>
        <w:rPr>
          <w:sz w:val="20"/>
          <w:szCs w:val="20"/>
        </w:rPr>
      </w:pPr>
    </w:p>
    <w:p w:rsidR="00DA4FFF" w:rsidRPr="00DA4FFF" w:rsidRDefault="00DA4FFF" w:rsidP="00DA4FFF">
      <w:pPr>
        <w:autoSpaceDE w:val="0"/>
        <w:autoSpaceDN w:val="0"/>
        <w:adjustRightInd w:val="0"/>
        <w:spacing w:after="120"/>
        <w:jc w:val="both"/>
      </w:pPr>
      <w:r w:rsidRPr="00DA4FFF">
        <w:t>Na composição do cálculo do déficit habitacional são analisadas as variáveis: (i) habitação precária, condições precárias da moradia, (</w:t>
      </w:r>
      <w:proofErr w:type="gramStart"/>
      <w:r w:rsidRPr="00DA4FFF">
        <w:t>ii</w:t>
      </w:r>
      <w:proofErr w:type="gramEnd"/>
      <w:r w:rsidRPr="00DA4FFF">
        <w:t xml:space="preserve">) coabitação familiar, compartilhamento da moradia, (iii) ônus com aluguel, quando a família despende 30% ou mais da renda para pagamento de aluguel e (iv) adensamento excessivo, dormitório compartilhado por mais de três pessoas (FJP, 2016a). Enquanto na composição do cálculo de domicílios inadequados considera-se “[...] domicílios com carência de infraestrutura, adensamento excessivo de moradores em domicílios próprios, problemas de natureza fundiária, cobertura inadequada, ausência de unidade sanitária domiciliar exclusiva ou em alto grau de depreciação” (FJP, 2016a, p.23). Nesse sentido, são considerados como inadequados, os domicílios que necessitam de reforma para continuarem a ser habitados. </w:t>
      </w:r>
    </w:p>
    <w:p w:rsidR="00DA4FFF" w:rsidRPr="00DA4FFF" w:rsidRDefault="00DA4FFF" w:rsidP="00DA4FFF">
      <w:pPr>
        <w:autoSpaceDE w:val="0"/>
        <w:autoSpaceDN w:val="0"/>
        <w:adjustRightInd w:val="0"/>
        <w:spacing w:after="120"/>
        <w:jc w:val="both"/>
      </w:pPr>
      <w:r w:rsidRPr="00DA4FFF">
        <w:t xml:space="preserve">Segundo FJP (2016a, p. 58), “[...] um domicílio pode ser inadequado segundo mais de um critério, não é possível sua totalização – soma dos componentes – </w:t>
      </w:r>
      <w:proofErr w:type="gramStart"/>
      <w:r w:rsidRPr="00DA4FFF">
        <w:t>sob pena</w:t>
      </w:r>
      <w:proofErr w:type="gramEnd"/>
      <w:r w:rsidRPr="00DA4FFF">
        <w:t xml:space="preserve"> de dupla contagem”. Assim, o índice acima </w:t>
      </w:r>
      <w:proofErr w:type="gramStart"/>
      <w:r w:rsidRPr="00DA4FFF">
        <w:t>refere-se</w:t>
      </w:r>
      <w:proofErr w:type="gramEnd"/>
      <w:r w:rsidRPr="00DA4FFF">
        <w:t xml:space="preserve"> somente aos imóveis considerados carentes de infraestrutura, a fim de evitar a dupla contagem. </w:t>
      </w:r>
    </w:p>
    <w:p w:rsidR="00DA4FFF" w:rsidRPr="00DA4FFF" w:rsidRDefault="00DA4FFF" w:rsidP="00DA4FFF">
      <w:pPr>
        <w:autoSpaceDE w:val="0"/>
        <w:autoSpaceDN w:val="0"/>
        <w:adjustRightInd w:val="0"/>
        <w:spacing w:after="120"/>
        <w:jc w:val="both"/>
      </w:pPr>
      <w:r w:rsidRPr="00DA4FFF">
        <w:t xml:space="preserve">Em 2011, após o segundo ano do PMCMV, percebe-se uma redução de 7,4% em imóveis considerados inadequados, passando de 26,4% para 19% e de 3,1% no déficit habitacional brasileiro. Este fato deve-se as políticas públicas de habitação.  </w:t>
      </w:r>
    </w:p>
    <w:p w:rsidR="00DA4FFF" w:rsidRPr="00DA4FFF" w:rsidRDefault="00DA4FFF" w:rsidP="00DA4FFF">
      <w:pPr>
        <w:pStyle w:val="PargrafodaLista"/>
        <w:ind w:left="360"/>
      </w:pPr>
    </w:p>
    <w:p w:rsidR="00DA4FFF" w:rsidRPr="00DA4FFF" w:rsidRDefault="00DA4FFF" w:rsidP="00DA4FFF">
      <w:pPr>
        <w:pStyle w:val="Ttulo2"/>
        <w:rPr>
          <w:szCs w:val="24"/>
        </w:rPr>
      </w:pPr>
      <w:bookmarkStart w:id="6" w:name="_Toc469305039"/>
      <w:r w:rsidRPr="00DA4FFF">
        <w:rPr>
          <w:szCs w:val="24"/>
        </w:rPr>
        <w:t>2.2. Políticas Públicas de Habitação de Interesse Social</w:t>
      </w:r>
      <w:bookmarkEnd w:id="6"/>
      <w:r w:rsidRPr="00DA4FFF">
        <w:rPr>
          <w:szCs w:val="24"/>
        </w:rPr>
        <w:t xml:space="preserve"> </w:t>
      </w:r>
    </w:p>
    <w:p w:rsidR="00DA4FFF" w:rsidRPr="00DA4FFF" w:rsidRDefault="00DA4FFF" w:rsidP="00DA4FFF">
      <w:pPr>
        <w:autoSpaceDE w:val="0"/>
        <w:autoSpaceDN w:val="0"/>
        <w:adjustRightInd w:val="0"/>
        <w:spacing w:after="120"/>
        <w:jc w:val="both"/>
      </w:pPr>
      <w:r w:rsidRPr="00DA4FFF">
        <w:t xml:space="preserve">O termo política pública refere-se a “[...] um instrumento de atuação do governo (em conjunto, ou não, com outros atores), que tem como cerne a solução não conflituosa de um problema percebido no público” (MOREIRA; SILVEIRA, 2015, p. 97). Ou seja, trata-se de um conjunto de ações e procedimentos que visam </w:t>
      </w:r>
      <w:proofErr w:type="gramStart"/>
      <w:r w:rsidRPr="00DA4FFF">
        <w:t>a</w:t>
      </w:r>
      <w:proofErr w:type="gramEnd"/>
      <w:r w:rsidRPr="00DA4FFF">
        <w:t xml:space="preserve"> resolução pacífica de conflitos na alocação de bens e recursos e com isto reduzir as desigualdades sociais (REIS, 2013).</w:t>
      </w:r>
    </w:p>
    <w:p w:rsidR="00DA4FFF" w:rsidRPr="00DA4FFF" w:rsidRDefault="00DA4FFF" w:rsidP="00DA4FFF">
      <w:pPr>
        <w:autoSpaceDE w:val="0"/>
        <w:autoSpaceDN w:val="0"/>
        <w:adjustRightInd w:val="0"/>
        <w:spacing w:after="120"/>
        <w:jc w:val="both"/>
      </w:pPr>
      <w:r w:rsidRPr="00DA4FFF">
        <w:t xml:space="preserve">Por intermédio das políticas públicas, o governo devolve à população uma parcela do que foi arrecadado com contribuições tributárias, com o objetivo de atender às necessidades básicas da população e/ou sanar um problema social (SIMÃO </w:t>
      </w:r>
      <w:proofErr w:type="gramStart"/>
      <w:r w:rsidRPr="00DA4FFF">
        <w:rPr>
          <w:i/>
        </w:rPr>
        <w:t>et</w:t>
      </w:r>
      <w:proofErr w:type="gramEnd"/>
      <w:r w:rsidRPr="00DA4FFF">
        <w:rPr>
          <w:i/>
        </w:rPr>
        <w:t xml:space="preserve"> al.</w:t>
      </w:r>
      <w:r w:rsidRPr="00DA4FFF">
        <w:t xml:space="preserve">, 2010 </w:t>
      </w:r>
      <w:r w:rsidRPr="00DA4FFF">
        <w:rPr>
          <w:i/>
        </w:rPr>
        <w:t xml:space="preserve">apud </w:t>
      </w:r>
      <w:r w:rsidRPr="00DA4FFF">
        <w:t xml:space="preserve">MOREIRA; SILVEIRA, 2015). </w:t>
      </w:r>
      <w:r w:rsidRPr="00DA4FFF">
        <w:tab/>
      </w:r>
    </w:p>
    <w:p w:rsidR="00DA4FFF" w:rsidRPr="00DA4FFF" w:rsidRDefault="00DA4FFF" w:rsidP="00DA4FFF">
      <w:pPr>
        <w:autoSpaceDE w:val="0"/>
        <w:autoSpaceDN w:val="0"/>
        <w:adjustRightInd w:val="0"/>
        <w:spacing w:after="120"/>
        <w:jc w:val="both"/>
      </w:pPr>
      <w:r w:rsidRPr="00DA4FFF">
        <w:t xml:space="preserve">A Política Nacional de Habitação (PNH) surgiu em </w:t>
      </w:r>
      <w:proofErr w:type="gramStart"/>
      <w:r w:rsidRPr="00DA4FFF">
        <w:t>1964 com a criação do Banco Nacional de Habitação (BNH) e do sistema por ele centralizado, no início do regime militar, em resposta à forte crise de moradia, decorrente</w:t>
      </w:r>
      <w:proofErr w:type="gramEnd"/>
      <w:r w:rsidRPr="00DA4FFF">
        <w:t xml:space="preserve"> de um processo de urbanização acelerado e buscando, por outro lado, obter apoio da massa popular (BONDUKI, 2008). Esse programa durou 22 anos e financiou 4,46 milhões unidades habitacionais, no entanto, apenas 33,6% destas no segmento </w:t>
      </w:r>
      <w:r w:rsidRPr="00DA4FFF">
        <w:lastRenderedPageBreak/>
        <w:t>de mercado popular (ROYER, 2009). Esse sistema tinha o Estado como agente promotor das políticas habitacionais, mas não havia subsídios, fazendo com que as pessoas que não possuíam renda para acessar as modalidades de financiamento do BNH fossem excluídas da política de habitação (ASSAD, 2012).</w:t>
      </w:r>
    </w:p>
    <w:p w:rsidR="00DA4FFF" w:rsidRPr="00DA4FFF" w:rsidRDefault="00DA4FFF" w:rsidP="00DA4FFF">
      <w:pPr>
        <w:autoSpaceDE w:val="0"/>
        <w:autoSpaceDN w:val="0"/>
        <w:adjustRightInd w:val="0"/>
        <w:spacing w:after="120"/>
        <w:jc w:val="both"/>
        <w:rPr>
          <w:rFonts w:eastAsiaTheme="minorHAnsi"/>
        </w:rPr>
      </w:pPr>
      <w:r w:rsidRPr="00DA4FFF">
        <w:rPr>
          <w:rFonts w:eastAsiaTheme="minorHAnsi"/>
        </w:rPr>
        <w:t xml:space="preserve">Com o fim da ditadura, ocorreu a dissolução do BNH, passando as políticas de habitação, e outras de interesse social, para os Estados e Municípios, deixando de existir uma política nacional de habitação. Isso contribuiu para iniciar o processo de captação de recursos públicos, por intermédio dos agentes financeiros. Assim, a Caixa Econômica Federal acabou incorporando as atividades anteriormente desenvolvidas pelo BNH, o que dificultou a </w:t>
      </w:r>
      <w:proofErr w:type="gramStart"/>
      <w:r w:rsidRPr="00DA4FFF">
        <w:rPr>
          <w:rFonts w:eastAsiaTheme="minorHAnsi"/>
        </w:rPr>
        <w:t>implementação</w:t>
      </w:r>
      <w:proofErr w:type="gramEnd"/>
      <w:r w:rsidRPr="00DA4FFF">
        <w:rPr>
          <w:rFonts w:eastAsiaTheme="minorHAnsi"/>
        </w:rPr>
        <w:t xml:space="preserve"> dos programas habitacionais e o acesso das famílias de baixa renda (SHIMBO, 2010; ASSAD, 2012).</w:t>
      </w:r>
    </w:p>
    <w:p w:rsidR="00DA4FFF" w:rsidRPr="00DA4FFF" w:rsidRDefault="00DA4FFF" w:rsidP="00DA4FFF">
      <w:pPr>
        <w:spacing w:after="120"/>
        <w:jc w:val="both"/>
        <w:rPr>
          <w:rFonts w:eastAsiaTheme="minorHAnsi"/>
        </w:rPr>
      </w:pPr>
      <w:r w:rsidRPr="00DA4FFF">
        <w:rPr>
          <w:rFonts w:eastAsiaTheme="minorHAnsi"/>
        </w:rPr>
        <w:t>Em 1995, no governo de Fernando Henrique Cardoso, 10 anos após o fim do BNH, houve a descentralização de recursos federais e introdução dos princípios de mercado com a política de crédito ao mutuário final (ARRETCHE, 2002). Nesse período, foi criado o programa “Carta de Crédito” com foco nas famílias com renda mensal de até 12 salários mínimos, por meio de recursos do Sistema Brasileiro de Poupança e Empréstimos (SBPE) e do FGTS (SHIMBO, 2010).</w:t>
      </w:r>
    </w:p>
    <w:p w:rsidR="00DA4FFF" w:rsidRPr="00DA4FFF" w:rsidRDefault="00DA4FFF" w:rsidP="00DA4FFF">
      <w:pPr>
        <w:autoSpaceDE w:val="0"/>
        <w:autoSpaceDN w:val="0"/>
        <w:adjustRightInd w:val="0"/>
        <w:spacing w:after="120"/>
        <w:jc w:val="both"/>
        <w:rPr>
          <w:rFonts w:eastAsiaTheme="minorHAnsi"/>
          <w:sz w:val="22"/>
        </w:rPr>
      </w:pPr>
      <w:r w:rsidRPr="00DA4FFF">
        <w:rPr>
          <w:rFonts w:eastAsiaTheme="minorHAnsi"/>
        </w:rPr>
        <w:t>Em 2003, no governo Lula, foi criado o Ministério das Cidades, com a proposta de:</w:t>
      </w:r>
    </w:p>
    <w:p w:rsidR="00DA4FFF" w:rsidRPr="00DA4FFF" w:rsidRDefault="00DA4FFF" w:rsidP="00DA4FFF">
      <w:pPr>
        <w:autoSpaceDE w:val="0"/>
        <w:autoSpaceDN w:val="0"/>
        <w:adjustRightInd w:val="0"/>
        <w:ind w:left="2268"/>
        <w:jc w:val="both"/>
        <w:rPr>
          <w:rFonts w:eastAsiaTheme="minorHAnsi"/>
          <w:sz w:val="20"/>
        </w:rPr>
      </w:pPr>
      <w:r w:rsidRPr="00DA4FFF">
        <w:rPr>
          <w:rFonts w:eastAsiaTheme="minorHAnsi"/>
          <w:sz w:val="20"/>
        </w:rPr>
        <w:t xml:space="preserve">[...] romper com a tradição federal de uma abordagem segmentada da questão urbana, buscando integrar, sob uma única coordenação as áreas de habitação, saneamento, transportes urbanos e planejamento territorial. Desde a extinção do BNH, o país não possuía um órgão federal voltado à questão habitacional </w:t>
      </w:r>
      <w:r w:rsidRPr="00DA4FFF">
        <w:rPr>
          <w:rFonts w:eastAsiaTheme="minorHAnsi"/>
          <w:i/>
          <w:sz w:val="20"/>
        </w:rPr>
        <w:t xml:space="preserve">latu sensu </w:t>
      </w:r>
      <w:r w:rsidRPr="00DA4FFF">
        <w:rPr>
          <w:rFonts w:eastAsiaTheme="minorHAnsi"/>
          <w:sz w:val="20"/>
        </w:rPr>
        <w:t>(ASSAD, 2012, p.20).</w:t>
      </w:r>
    </w:p>
    <w:p w:rsidR="00DA4FFF" w:rsidRPr="00DA4FFF" w:rsidRDefault="00DA4FFF" w:rsidP="00DA4FFF">
      <w:pPr>
        <w:autoSpaceDE w:val="0"/>
        <w:autoSpaceDN w:val="0"/>
        <w:adjustRightInd w:val="0"/>
        <w:ind w:left="2268"/>
        <w:jc w:val="both"/>
        <w:rPr>
          <w:rFonts w:eastAsiaTheme="minorHAnsi"/>
          <w:sz w:val="20"/>
        </w:rPr>
      </w:pPr>
    </w:p>
    <w:p w:rsidR="00DA4FFF" w:rsidRPr="00DA4FFF" w:rsidRDefault="00DA4FFF" w:rsidP="00DA4FFF">
      <w:pPr>
        <w:spacing w:after="120"/>
        <w:jc w:val="both"/>
        <w:rPr>
          <w:rFonts w:eastAsiaTheme="minorHAnsi"/>
        </w:rPr>
      </w:pPr>
      <w:r w:rsidRPr="00DA4FFF">
        <w:rPr>
          <w:rFonts w:eastAsiaTheme="minorHAnsi"/>
        </w:rPr>
        <w:t>Esta proposta corrobora com a definição da atual PNH que “visa promover condições de acesso à moradia digna a todos os segmentos da população, especialmente o de baixa renda, contribuindo, assim, para a inclusão social” (BRASIL, 2004, p.29).</w:t>
      </w:r>
    </w:p>
    <w:p w:rsidR="00DA4FFF" w:rsidRPr="00DA4FFF" w:rsidDel="009F1F48" w:rsidRDefault="00DA4FFF" w:rsidP="00DA4FFF">
      <w:pPr>
        <w:spacing w:after="120"/>
        <w:jc w:val="both"/>
        <w:rPr>
          <w:rFonts w:eastAsiaTheme="minorHAnsi"/>
        </w:rPr>
      </w:pPr>
      <w:r w:rsidRPr="00DA4FFF" w:rsidDel="009F1F48">
        <w:rPr>
          <w:rFonts w:eastAsiaTheme="minorHAnsi"/>
        </w:rPr>
        <w:t>Segundo Shimbo (2010), o Ministério das Cidades manteve e reformulou alguns programas como Carta de Crédito e o Pró-Moradia e criou o Programa Crédito Solidário. Posteriormente</w:t>
      </w:r>
      <w:r w:rsidRPr="00DA4FFF">
        <w:rPr>
          <w:rFonts w:eastAsiaTheme="minorHAnsi"/>
        </w:rPr>
        <w:t>,</w:t>
      </w:r>
      <w:r w:rsidRPr="00DA4FFF" w:rsidDel="009F1F48">
        <w:rPr>
          <w:rFonts w:eastAsiaTheme="minorHAnsi"/>
        </w:rPr>
        <w:t xml:space="preserve"> foram criados novos programas destinados à população com renda mensal de até </w:t>
      </w:r>
      <w:proofErr w:type="gramStart"/>
      <w:r w:rsidRPr="00DA4FFF" w:rsidDel="009F1F48">
        <w:rPr>
          <w:rFonts w:eastAsiaTheme="minorHAnsi"/>
        </w:rPr>
        <w:t>3</w:t>
      </w:r>
      <w:proofErr w:type="gramEnd"/>
      <w:r w:rsidRPr="00DA4FFF" w:rsidDel="009F1F48">
        <w:rPr>
          <w:rFonts w:eastAsiaTheme="minorHAnsi"/>
        </w:rPr>
        <w:t xml:space="preserve"> salários mínimos. No entanto, apesar dos esforços do governo, em 2007, apenas 10% dos 500 mil contratos foram destinados às famílias com renda mensal de até </w:t>
      </w:r>
      <w:proofErr w:type="gramStart"/>
      <w:r w:rsidRPr="00DA4FFF" w:rsidDel="009F1F48">
        <w:rPr>
          <w:rFonts w:eastAsiaTheme="minorHAnsi"/>
        </w:rPr>
        <w:t>3</w:t>
      </w:r>
      <w:proofErr w:type="gramEnd"/>
      <w:r w:rsidRPr="00DA4FFF" w:rsidDel="009F1F48">
        <w:rPr>
          <w:rFonts w:eastAsiaTheme="minorHAnsi"/>
        </w:rPr>
        <w:t xml:space="preserve"> salários, ou seja, R$1.140,00 na época (ROLNIK; NAKANO, 2009).</w:t>
      </w:r>
    </w:p>
    <w:p w:rsidR="00DA4FFF" w:rsidRPr="00DA4FFF" w:rsidRDefault="00DA4FFF" w:rsidP="00DA4FFF">
      <w:pPr>
        <w:spacing w:after="120"/>
        <w:jc w:val="both"/>
        <w:rPr>
          <w:rFonts w:eastAsiaTheme="minorHAnsi"/>
        </w:rPr>
      </w:pPr>
      <w:r w:rsidRPr="00DA4FFF">
        <w:rPr>
          <w:rFonts w:eastAsiaTheme="minorHAnsi"/>
        </w:rPr>
        <w:t xml:space="preserve">Assad (2012) afirma que apesar do déficit habitacional concentrar nas famílias com renda mensal de até </w:t>
      </w:r>
      <w:proofErr w:type="gramStart"/>
      <w:r w:rsidRPr="00DA4FFF">
        <w:rPr>
          <w:rFonts w:eastAsiaTheme="minorHAnsi"/>
        </w:rPr>
        <w:t>3</w:t>
      </w:r>
      <w:proofErr w:type="gramEnd"/>
      <w:r w:rsidRPr="00DA4FFF">
        <w:rPr>
          <w:rFonts w:eastAsiaTheme="minorHAnsi"/>
        </w:rPr>
        <w:t xml:space="preserve"> salários, as políticas habitacionais brasileiras até então privilegiaram as classes mais abastadas.</w:t>
      </w:r>
    </w:p>
    <w:p w:rsidR="00DA4FFF" w:rsidRPr="00DA4FFF" w:rsidRDefault="00DA4FFF" w:rsidP="00DA4FFF">
      <w:pPr>
        <w:ind w:firstLine="708"/>
        <w:jc w:val="both"/>
        <w:rPr>
          <w:rFonts w:eastAsiaTheme="minorHAnsi"/>
        </w:rPr>
      </w:pPr>
    </w:p>
    <w:p w:rsidR="00DA4FFF" w:rsidRPr="00DA4FFF" w:rsidRDefault="00DA4FFF" w:rsidP="00DA4FFF">
      <w:pPr>
        <w:pStyle w:val="Ttulo2"/>
        <w:rPr>
          <w:szCs w:val="24"/>
        </w:rPr>
      </w:pPr>
      <w:bookmarkStart w:id="7" w:name="_Toc469305040"/>
      <w:r w:rsidRPr="00DA4FFF">
        <w:rPr>
          <w:szCs w:val="24"/>
        </w:rPr>
        <w:t>2.2.1 Programa Minha Casa Minha Vida (PMCMV)</w:t>
      </w:r>
      <w:bookmarkEnd w:id="7"/>
      <w:r w:rsidRPr="00DA4FFF">
        <w:rPr>
          <w:szCs w:val="24"/>
        </w:rPr>
        <w:t xml:space="preserve"> </w:t>
      </w:r>
    </w:p>
    <w:p w:rsidR="00DA4FFF" w:rsidRPr="00DA4FFF" w:rsidRDefault="00DA4FFF" w:rsidP="00DA4FFF">
      <w:pPr>
        <w:spacing w:after="120"/>
        <w:jc w:val="both"/>
        <w:rPr>
          <w:rFonts w:eastAsiaTheme="minorHAnsi"/>
        </w:rPr>
      </w:pPr>
      <w:r w:rsidRPr="00DA4FFF">
        <w:rPr>
          <w:rFonts w:eastAsiaTheme="minorHAnsi"/>
        </w:rPr>
        <w:t xml:space="preserve">Em 2007, o governo criou o Programa de Aceleração do Crescimento (PAC), com uma série de medidas para alavancar o crescimento do País em </w:t>
      </w:r>
      <w:proofErr w:type="gramStart"/>
      <w:r w:rsidRPr="00DA4FFF">
        <w:rPr>
          <w:rFonts w:eastAsiaTheme="minorHAnsi"/>
        </w:rPr>
        <w:t>4</w:t>
      </w:r>
      <w:proofErr w:type="gramEnd"/>
      <w:r w:rsidRPr="00DA4FFF">
        <w:rPr>
          <w:rFonts w:eastAsiaTheme="minorHAnsi"/>
        </w:rPr>
        <w:t xml:space="preserve"> anos, dividindo-o em cinco blocos: Investimento e Infraestrutura; Estímulo ao crédito e financiamento; Melhoria do ambiente de investimento; Medidas fiscais e longo prazo; Desoneração e aperfeiçoamento do setor tributário (SAPORITO, 2015).</w:t>
      </w:r>
    </w:p>
    <w:p w:rsidR="00DA4FFF" w:rsidRPr="00DA4FFF" w:rsidRDefault="00DA4FFF" w:rsidP="00DA4FFF">
      <w:pPr>
        <w:spacing w:after="120"/>
        <w:jc w:val="both"/>
      </w:pPr>
      <w:r w:rsidRPr="00DA4FFF">
        <w:t xml:space="preserve">O PMCMV foi lançado 2009 como parte do PAC, por meio da Medida Provisória nº. 459/2009, posteriormente convertida na Lei nº 11.977/2009, “com o objetivo de incentivar a construção, a requalificação e a aquisição de unidades habitacionais, num contexto de crise </w:t>
      </w:r>
      <w:r w:rsidRPr="00DA4FFF">
        <w:lastRenderedPageBreak/>
        <w:t>econômica mundial como uma iniciativa anticíclica do governo federal para contê-la, gerando emprego e renda” (RODRIGUES, 2015, p. 18).</w:t>
      </w:r>
    </w:p>
    <w:p w:rsidR="00DA4FFF" w:rsidRPr="00DA4FFF" w:rsidRDefault="00DA4FFF" w:rsidP="00DA4FFF">
      <w:pPr>
        <w:autoSpaceDE w:val="0"/>
        <w:autoSpaceDN w:val="0"/>
        <w:adjustRightInd w:val="0"/>
        <w:spacing w:after="120"/>
        <w:jc w:val="both"/>
      </w:pPr>
      <w:r w:rsidRPr="00DA4FFF">
        <w:t xml:space="preserve">Segundo Moreira e Silveira (2015), o PMCMV surgiu na forma de pacote econômico voltado à habitação de mercado. No entanto, para atender os segmentos de maior déficit habitacional (famílias com renda mensal inferior a três salários), mudaram o foco do programa, passando a coordenação deste para a Secretaria Nacional de Habitação de Interesse Social. O PMCMV teve por objetivo reduzir em 14% o déficit habitacional, na </w:t>
      </w:r>
      <w:proofErr w:type="gramStart"/>
      <w:r w:rsidRPr="00DA4FFF">
        <w:t>época estimado em 7,2 milhões de moradias</w:t>
      </w:r>
      <w:proofErr w:type="gramEnd"/>
      <w:r w:rsidRPr="00DA4FFF">
        <w:t xml:space="preserve"> (REIS, 2013).</w:t>
      </w:r>
    </w:p>
    <w:p w:rsidR="00DA4FFF" w:rsidRDefault="00DA4FFF" w:rsidP="00DA4FFF">
      <w:pPr>
        <w:autoSpaceDE w:val="0"/>
        <w:autoSpaceDN w:val="0"/>
        <w:adjustRightInd w:val="0"/>
        <w:spacing w:after="120"/>
        <w:jc w:val="both"/>
      </w:pPr>
      <w:r w:rsidRPr="00DA4FFF">
        <w:t xml:space="preserve">Assim, para viabilizar a aplicação das políticas públicas de acordo com a renda do grupo familiar e, por meio destas, reduzir o déficit habitacional, o programa foi subdivido em faixas conforme Quadro </w:t>
      </w:r>
      <w:proofErr w:type="gramStart"/>
      <w:r w:rsidRPr="00DA4FFF">
        <w:t>1</w:t>
      </w:r>
      <w:proofErr w:type="gramEnd"/>
      <w:r w:rsidRPr="00DA4FFF">
        <w:t>.</w:t>
      </w:r>
    </w:p>
    <w:p w:rsidR="00182117" w:rsidRPr="00DA4FFF" w:rsidRDefault="00182117" w:rsidP="00DA4FFF">
      <w:pPr>
        <w:autoSpaceDE w:val="0"/>
        <w:autoSpaceDN w:val="0"/>
        <w:adjustRightInd w:val="0"/>
        <w:spacing w:after="1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701"/>
        <w:gridCol w:w="3402"/>
        <w:gridCol w:w="3260"/>
      </w:tblGrid>
      <w:tr w:rsidR="00DA4FFF" w:rsidRPr="00DA4FFF" w:rsidTr="00342C4E">
        <w:trPr>
          <w:trHeight w:val="20"/>
        </w:trPr>
        <w:tc>
          <w:tcPr>
            <w:tcW w:w="728" w:type="dxa"/>
            <w:vMerge w:val="restart"/>
            <w:vAlign w:val="center"/>
          </w:tcPr>
          <w:p w:rsidR="00DA4FFF" w:rsidRPr="00DA4FFF" w:rsidRDefault="00DA4FFF" w:rsidP="00DA4FFF">
            <w:pPr>
              <w:autoSpaceDE w:val="0"/>
              <w:autoSpaceDN w:val="0"/>
              <w:adjustRightInd w:val="0"/>
              <w:jc w:val="center"/>
              <w:rPr>
                <w:b/>
                <w:sz w:val="20"/>
              </w:rPr>
            </w:pPr>
          </w:p>
        </w:tc>
        <w:tc>
          <w:tcPr>
            <w:tcW w:w="8363" w:type="dxa"/>
            <w:gridSpan w:val="3"/>
            <w:vAlign w:val="center"/>
          </w:tcPr>
          <w:p w:rsidR="00DA4FFF" w:rsidRPr="00DA4FFF" w:rsidRDefault="00DA4FFF" w:rsidP="00DA4FFF">
            <w:pPr>
              <w:autoSpaceDE w:val="0"/>
              <w:autoSpaceDN w:val="0"/>
              <w:adjustRightInd w:val="0"/>
              <w:jc w:val="center"/>
              <w:rPr>
                <w:b/>
                <w:sz w:val="20"/>
              </w:rPr>
            </w:pPr>
            <w:r w:rsidRPr="00DA4FFF">
              <w:rPr>
                <w:b/>
                <w:sz w:val="20"/>
              </w:rPr>
              <w:t>Critérios de elegibilidade</w:t>
            </w:r>
          </w:p>
        </w:tc>
      </w:tr>
      <w:tr w:rsidR="00DA4FFF" w:rsidRPr="00DA4FFF" w:rsidTr="00342C4E">
        <w:trPr>
          <w:trHeight w:val="20"/>
        </w:trPr>
        <w:tc>
          <w:tcPr>
            <w:tcW w:w="728" w:type="dxa"/>
            <w:vMerge/>
            <w:vAlign w:val="center"/>
          </w:tcPr>
          <w:p w:rsidR="00DA4FFF" w:rsidRPr="00DA4FFF" w:rsidRDefault="00DA4FFF" w:rsidP="00DA4FFF">
            <w:pPr>
              <w:autoSpaceDE w:val="0"/>
              <w:autoSpaceDN w:val="0"/>
              <w:adjustRightInd w:val="0"/>
              <w:jc w:val="center"/>
              <w:rPr>
                <w:b/>
                <w:sz w:val="20"/>
              </w:rPr>
            </w:pPr>
          </w:p>
        </w:tc>
        <w:tc>
          <w:tcPr>
            <w:tcW w:w="1701" w:type="dxa"/>
            <w:vAlign w:val="center"/>
          </w:tcPr>
          <w:p w:rsidR="00DA4FFF" w:rsidRPr="00DA4FFF" w:rsidRDefault="00DA4FFF" w:rsidP="00DA4FFF">
            <w:pPr>
              <w:autoSpaceDE w:val="0"/>
              <w:autoSpaceDN w:val="0"/>
              <w:adjustRightInd w:val="0"/>
              <w:jc w:val="center"/>
              <w:rPr>
                <w:b/>
                <w:sz w:val="20"/>
              </w:rPr>
            </w:pPr>
            <w:r w:rsidRPr="00DA4FFF">
              <w:rPr>
                <w:b/>
                <w:sz w:val="20"/>
              </w:rPr>
              <w:t>PMCMV I (Lei 11.977 de 2009)</w:t>
            </w:r>
          </w:p>
        </w:tc>
        <w:tc>
          <w:tcPr>
            <w:tcW w:w="3402" w:type="dxa"/>
            <w:vAlign w:val="center"/>
          </w:tcPr>
          <w:p w:rsidR="00DA4FFF" w:rsidRPr="00DA4FFF" w:rsidRDefault="00DA4FFF" w:rsidP="00DA4FFF">
            <w:pPr>
              <w:autoSpaceDE w:val="0"/>
              <w:autoSpaceDN w:val="0"/>
              <w:adjustRightInd w:val="0"/>
              <w:jc w:val="center"/>
              <w:rPr>
                <w:b/>
                <w:sz w:val="20"/>
              </w:rPr>
            </w:pPr>
            <w:r w:rsidRPr="00DA4FFF">
              <w:rPr>
                <w:b/>
                <w:sz w:val="20"/>
              </w:rPr>
              <w:t>PMCMV II (Lei 12.424 de 2011)</w:t>
            </w:r>
          </w:p>
        </w:tc>
        <w:tc>
          <w:tcPr>
            <w:tcW w:w="3260" w:type="dxa"/>
            <w:vAlign w:val="center"/>
          </w:tcPr>
          <w:p w:rsidR="00DA4FFF" w:rsidRPr="00DA4FFF" w:rsidRDefault="00DA4FFF" w:rsidP="00DA4FFF">
            <w:pPr>
              <w:autoSpaceDE w:val="0"/>
              <w:autoSpaceDN w:val="0"/>
              <w:adjustRightInd w:val="0"/>
              <w:jc w:val="center"/>
              <w:rPr>
                <w:b/>
                <w:sz w:val="20"/>
              </w:rPr>
            </w:pPr>
            <w:r w:rsidRPr="00DA4FFF">
              <w:rPr>
                <w:b/>
                <w:sz w:val="20"/>
              </w:rPr>
              <w:t>Benefícios</w:t>
            </w:r>
          </w:p>
        </w:tc>
      </w:tr>
      <w:tr w:rsidR="00DA4FFF" w:rsidRPr="00DA4FFF" w:rsidTr="00342C4E">
        <w:trPr>
          <w:trHeight w:val="20"/>
        </w:trPr>
        <w:tc>
          <w:tcPr>
            <w:tcW w:w="728" w:type="dxa"/>
            <w:vAlign w:val="center"/>
          </w:tcPr>
          <w:p w:rsidR="00DA4FFF" w:rsidRPr="00DA4FFF" w:rsidRDefault="00DA4FFF" w:rsidP="00DA4FFF">
            <w:pPr>
              <w:autoSpaceDE w:val="0"/>
              <w:autoSpaceDN w:val="0"/>
              <w:adjustRightInd w:val="0"/>
              <w:jc w:val="center"/>
              <w:rPr>
                <w:b/>
                <w:sz w:val="20"/>
              </w:rPr>
            </w:pPr>
            <w:r w:rsidRPr="00DA4FFF">
              <w:rPr>
                <w:b/>
                <w:sz w:val="20"/>
              </w:rPr>
              <w:t xml:space="preserve">Faixa </w:t>
            </w:r>
            <w:proofErr w:type="gramStart"/>
            <w:r w:rsidRPr="00DA4FFF">
              <w:rPr>
                <w:b/>
                <w:sz w:val="20"/>
              </w:rPr>
              <w:t>1</w:t>
            </w:r>
            <w:proofErr w:type="gramEnd"/>
          </w:p>
        </w:tc>
        <w:tc>
          <w:tcPr>
            <w:tcW w:w="1701" w:type="dxa"/>
            <w:vAlign w:val="center"/>
          </w:tcPr>
          <w:p w:rsidR="00DA4FFF" w:rsidRPr="00DA4FFF" w:rsidRDefault="00DA4FFF" w:rsidP="00DA4FFF">
            <w:pPr>
              <w:autoSpaceDE w:val="0"/>
              <w:autoSpaceDN w:val="0"/>
              <w:adjustRightInd w:val="0"/>
              <w:jc w:val="center"/>
              <w:rPr>
                <w:sz w:val="20"/>
                <w:szCs w:val="20"/>
              </w:rPr>
            </w:pPr>
            <w:r w:rsidRPr="00DA4FFF">
              <w:rPr>
                <w:sz w:val="20"/>
                <w:szCs w:val="20"/>
              </w:rPr>
              <w:t xml:space="preserve">0 a </w:t>
            </w:r>
            <w:proofErr w:type="gramStart"/>
            <w:r w:rsidRPr="00DA4FFF">
              <w:rPr>
                <w:sz w:val="20"/>
                <w:szCs w:val="20"/>
              </w:rPr>
              <w:t>3 Salário</w:t>
            </w:r>
            <w:proofErr w:type="gramEnd"/>
            <w:r w:rsidRPr="00DA4FFF">
              <w:rPr>
                <w:sz w:val="20"/>
                <w:szCs w:val="20"/>
              </w:rPr>
              <w:t xml:space="preserve"> Mínimo, ou até R$1.395,00.</w:t>
            </w:r>
          </w:p>
        </w:tc>
        <w:tc>
          <w:tcPr>
            <w:tcW w:w="3402" w:type="dxa"/>
            <w:vAlign w:val="center"/>
          </w:tcPr>
          <w:p w:rsidR="00DA4FFF" w:rsidRPr="00DA4FFF" w:rsidRDefault="00DA4FFF" w:rsidP="00DA4FFF">
            <w:pPr>
              <w:autoSpaceDE w:val="0"/>
              <w:autoSpaceDN w:val="0"/>
              <w:adjustRightInd w:val="0"/>
              <w:rPr>
                <w:sz w:val="20"/>
                <w:szCs w:val="20"/>
              </w:rPr>
            </w:pPr>
            <w:r w:rsidRPr="00DA4FFF">
              <w:rPr>
                <w:sz w:val="20"/>
                <w:szCs w:val="20"/>
              </w:rPr>
              <w:t>Renda bruta familiar de até R$1.600,00</w:t>
            </w:r>
          </w:p>
        </w:tc>
        <w:tc>
          <w:tcPr>
            <w:tcW w:w="3260" w:type="dxa"/>
            <w:vAlign w:val="center"/>
          </w:tcPr>
          <w:p w:rsidR="00DA4FFF" w:rsidRPr="00DA4FFF" w:rsidRDefault="00DA4FFF" w:rsidP="00DA4FFF">
            <w:pPr>
              <w:autoSpaceDE w:val="0"/>
              <w:autoSpaceDN w:val="0"/>
              <w:adjustRightInd w:val="0"/>
              <w:rPr>
                <w:sz w:val="20"/>
                <w:szCs w:val="20"/>
              </w:rPr>
            </w:pPr>
            <w:r w:rsidRPr="00DA4FFF">
              <w:rPr>
                <w:sz w:val="20"/>
                <w:szCs w:val="20"/>
              </w:rPr>
              <w:t xml:space="preserve">No mínimo 80% de subsídio, no caso do imóvel custar 96 mil; acesso ao Fundo Garantidor da Habitação Popular - </w:t>
            </w:r>
            <w:proofErr w:type="gramStart"/>
            <w:r w:rsidRPr="00DA4FFF">
              <w:rPr>
                <w:sz w:val="20"/>
                <w:szCs w:val="20"/>
              </w:rPr>
              <w:t>FGHab</w:t>
            </w:r>
            <w:proofErr w:type="gramEnd"/>
            <w:r w:rsidRPr="00DA4FFF">
              <w:rPr>
                <w:sz w:val="20"/>
                <w:szCs w:val="20"/>
              </w:rPr>
              <w:t>; isenção de custos cartoriais.</w:t>
            </w:r>
          </w:p>
        </w:tc>
      </w:tr>
      <w:tr w:rsidR="00DA4FFF" w:rsidRPr="00DA4FFF" w:rsidTr="00342C4E">
        <w:trPr>
          <w:trHeight w:val="20"/>
        </w:trPr>
        <w:tc>
          <w:tcPr>
            <w:tcW w:w="728" w:type="dxa"/>
            <w:vAlign w:val="center"/>
          </w:tcPr>
          <w:p w:rsidR="00DA4FFF" w:rsidRPr="00DA4FFF" w:rsidRDefault="00DA4FFF" w:rsidP="00DA4FFF">
            <w:pPr>
              <w:autoSpaceDE w:val="0"/>
              <w:autoSpaceDN w:val="0"/>
              <w:adjustRightInd w:val="0"/>
              <w:jc w:val="center"/>
              <w:rPr>
                <w:b/>
                <w:sz w:val="20"/>
              </w:rPr>
            </w:pPr>
            <w:r w:rsidRPr="00DA4FFF">
              <w:rPr>
                <w:b/>
                <w:sz w:val="20"/>
              </w:rPr>
              <w:t xml:space="preserve">Faixa </w:t>
            </w:r>
            <w:proofErr w:type="gramStart"/>
            <w:r w:rsidRPr="00DA4FFF">
              <w:rPr>
                <w:b/>
                <w:sz w:val="20"/>
              </w:rPr>
              <w:t>2</w:t>
            </w:r>
            <w:proofErr w:type="gramEnd"/>
          </w:p>
          <w:p w:rsidR="00DA4FFF" w:rsidRPr="00DA4FFF" w:rsidRDefault="00DA4FFF" w:rsidP="00DA4FFF">
            <w:pPr>
              <w:autoSpaceDE w:val="0"/>
              <w:autoSpaceDN w:val="0"/>
              <w:adjustRightInd w:val="0"/>
              <w:jc w:val="center"/>
              <w:rPr>
                <w:b/>
                <w:sz w:val="20"/>
              </w:rPr>
            </w:pPr>
          </w:p>
        </w:tc>
        <w:tc>
          <w:tcPr>
            <w:tcW w:w="1701" w:type="dxa"/>
            <w:vAlign w:val="center"/>
          </w:tcPr>
          <w:p w:rsidR="00DA4FFF" w:rsidRPr="00DA4FFF" w:rsidRDefault="00DA4FFF" w:rsidP="00DA4FFF">
            <w:pPr>
              <w:autoSpaceDE w:val="0"/>
              <w:autoSpaceDN w:val="0"/>
              <w:adjustRightInd w:val="0"/>
              <w:jc w:val="center"/>
              <w:rPr>
                <w:b/>
                <w:sz w:val="20"/>
                <w:szCs w:val="20"/>
              </w:rPr>
            </w:pPr>
            <w:r w:rsidRPr="00DA4FFF">
              <w:rPr>
                <w:sz w:val="20"/>
                <w:szCs w:val="20"/>
              </w:rPr>
              <w:t xml:space="preserve">3 a </w:t>
            </w:r>
            <w:proofErr w:type="gramStart"/>
            <w:r w:rsidRPr="00DA4FFF">
              <w:rPr>
                <w:sz w:val="20"/>
                <w:szCs w:val="20"/>
              </w:rPr>
              <w:t>6 Salário</w:t>
            </w:r>
            <w:proofErr w:type="gramEnd"/>
            <w:r w:rsidRPr="00DA4FFF">
              <w:rPr>
                <w:sz w:val="20"/>
                <w:szCs w:val="20"/>
              </w:rPr>
              <w:t xml:space="preserve"> Mínimo, ou até R$2.790,00</w:t>
            </w:r>
          </w:p>
        </w:tc>
        <w:tc>
          <w:tcPr>
            <w:tcW w:w="3402" w:type="dxa"/>
            <w:vAlign w:val="center"/>
          </w:tcPr>
          <w:p w:rsidR="00DA4FFF" w:rsidRPr="00DA4FFF" w:rsidRDefault="00DA4FFF" w:rsidP="00DA4FFF">
            <w:pPr>
              <w:autoSpaceDE w:val="0"/>
              <w:autoSpaceDN w:val="0"/>
              <w:adjustRightInd w:val="0"/>
              <w:rPr>
                <w:b/>
                <w:sz w:val="20"/>
                <w:szCs w:val="20"/>
              </w:rPr>
            </w:pPr>
            <w:r w:rsidRPr="00DA4FFF">
              <w:rPr>
                <w:sz w:val="20"/>
                <w:szCs w:val="20"/>
              </w:rPr>
              <w:t>Renda bruta familiar de até R$3.100,00 (Decreto 7.499 de 2011), e de até R$3.275,00 (Decreto 7.825 de 2012</w:t>
            </w:r>
            <w:proofErr w:type="gramStart"/>
            <w:r w:rsidRPr="00DA4FFF">
              <w:rPr>
                <w:sz w:val="20"/>
                <w:szCs w:val="20"/>
              </w:rPr>
              <w:t>)</w:t>
            </w:r>
            <w:proofErr w:type="gramEnd"/>
          </w:p>
        </w:tc>
        <w:tc>
          <w:tcPr>
            <w:tcW w:w="3260" w:type="dxa"/>
            <w:vAlign w:val="center"/>
          </w:tcPr>
          <w:p w:rsidR="00DA4FFF" w:rsidRPr="00DA4FFF" w:rsidRDefault="00DA4FFF" w:rsidP="00DA4FFF">
            <w:pPr>
              <w:autoSpaceDE w:val="0"/>
              <w:autoSpaceDN w:val="0"/>
              <w:adjustRightInd w:val="0"/>
              <w:rPr>
                <w:sz w:val="20"/>
                <w:szCs w:val="20"/>
              </w:rPr>
            </w:pPr>
            <w:r w:rsidRPr="00DA4FFF">
              <w:rPr>
                <w:sz w:val="20"/>
                <w:szCs w:val="20"/>
              </w:rPr>
              <w:t xml:space="preserve">Subsídio de no máximo R$25.000; acesso ao </w:t>
            </w:r>
            <w:proofErr w:type="gramStart"/>
            <w:r w:rsidRPr="00DA4FFF">
              <w:rPr>
                <w:sz w:val="20"/>
                <w:szCs w:val="20"/>
              </w:rPr>
              <w:t>FGHab</w:t>
            </w:r>
            <w:proofErr w:type="gramEnd"/>
            <w:r w:rsidRPr="00DA4FFF">
              <w:rPr>
                <w:sz w:val="20"/>
                <w:szCs w:val="20"/>
              </w:rPr>
              <w:t>; descontos nos custos cartoriais; juros reduzido.</w:t>
            </w:r>
          </w:p>
        </w:tc>
      </w:tr>
      <w:tr w:rsidR="00DA4FFF" w:rsidRPr="00DA4FFF" w:rsidTr="00342C4E">
        <w:trPr>
          <w:trHeight w:val="20"/>
        </w:trPr>
        <w:tc>
          <w:tcPr>
            <w:tcW w:w="728" w:type="dxa"/>
            <w:vAlign w:val="center"/>
          </w:tcPr>
          <w:p w:rsidR="00DA4FFF" w:rsidRPr="00DA4FFF" w:rsidRDefault="00DA4FFF" w:rsidP="00DA4FFF">
            <w:pPr>
              <w:autoSpaceDE w:val="0"/>
              <w:autoSpaceDN w:val="0"/>
              <w:adjustRightInd w:val="0"/>
              <w:jc w:val="center"/>
              <w:rPr>
                <w:b/>
                <w:sz w:val="20"/>
              </w:rPr>
            </w:pPr>
            <w:r w:rsidRPr="00DA4FFF">
              <w:rPr>
                <w:b/>
                <w:sz w:val="20"/>
              </w:rPr>
              <w:t xml:space="preserve">Faixa </w:t>
            </w:r>
            <w:proofErr w:type="gramStart"/>
            <w:r w:rsidRPr="00DA4FFF">
              <w:rPr>
                <w:b/>
                <w:sz w:val="20"/>
              </w:rPr>
              <w:t>3</w:t>
            </w:r>
            <w:proofErr w:type="gramEnd"/>
          </w:p>
          <w:p w:rsidR="00DA4FFF" w:rsidRPr="00DA4FFF" w:rsidRDefault="00DA4FFF" w:rsidP="00DA4FFF">
            <w:pPr>
              <w:autoSpaceDE w:val="0"/>
              <w:autoSpaceDN w:val="0"/>
              <w:adjustRightInd w:val="0"/>
              <w:jc w:val="center"/>
              <w:rPr>
                <w:b/>
                <w:sz w:val="20"/>
              </w:rPr>
            </w:pPr>
          </w:p>
        </w:tc>
        <w:tc>
          <w:tcPr>
            <w:tcW w:w="1701" w:type="dxa"/>
            <w:vAlign w:val="center"/>
          </w:tcPr>
          <w:p w:rsidR="00DA4FFF" w:rsidRPr="00DA4FFF" w:rsidRDefault="00DA4FFF" w:rsidP="00DA4FFF">
            <w:pPr>
              <w:autoSpaceDE w:val="0"/>
              <w:autoSpaceDN w:val="0"/>
              <w:adjustRightInd w:val="0"/>
              <w:jc w:val="center"/>
              <w:rPr>
                <w:b/>
                <w:sz w:val="20"/>
                <w:szCs w:val="20"/>
              </w:rPr>
            </w:pPr>
            <w:r w:rsidRPr="00DA4FFF">
              <w:rPr>
                <w:sz w:val="20"/>
                <w:szCs w:val="20"/>
              </w:rPr>
              <w:t xml:space="preserve">6 a </w:t>
            </w:r>
            <w:proofErr w:type="gramStart"/>
            <w:r w:rsidRPr="00DA4FFF">
              <w:rPr>
                <w:sz w:val="20"/>
                <w:szCs w:val="20"/>
              </w:rPr>
              <w:t>10 Salário</w:t>
            </w:r>
            <w:proofErr w:type="gramEnd"/>
            <w:r w:rsidRPr="00DA4FFF">
              <w:rPr>
                <w:sz w:val="20"/>
                <w:szCs w:val="20"/>
              </w:rPr>
              <w:t xml:space="preserve"> Mínimo, ou até R$4.900,00</w:t>
            </w:r>
          </w:p>
        </w:tc>
        <w:tc>
          <w:tcPr>
            <w:tcW w:w="3402" w:type="dxa"/>
            <w:vAlign w:val="center"/>
          </w:tcPr>
          <w:p w:rsidR="00DA4FFF" w:rsidRPr="00DA4FFF" w:rsidRDefault="00DA4FFF" w:rsidP="00DA4FFF">
            <w:pPr>
              <w:autoSpaceDE w:val="0"/>
              <w:autoSpaceDN w:val="0"/>
              <w:adjustRightInd w:val="0"/>
              <w:rPr>
                <w:b/>
                <w:sz w:val="20"/>
                <w:szCs w:val="20"/>
              </w:rPr>
            </w:pPr>
            <w:r w:rsidRPr="00DA4FFF">
              <w:rPr>
                <w:sz w:val="20"/>
                <w:szCs w:val="20"/>
              </w:rPr>
              <w:t>Renda bruta familiar de até R$5.000,00 (Decreto 7.499 de 2011), elevado em RM até R$5.400,00 (instruções Normativa 33 e 35 de 2012</w:t>
            </w:r>
            <w:proofErr w:type="gramStart"/>
            <w:r w:rsidRPr="00DA4FFF">
              <w:rPr>
                <w:sz w:val="20"/>
                <w:szCs w:val="20"/>
              </w:rPr>
              <w:t>)</w:t>
            </w:r>
            <w:proofErr w:type="gramEnd"/>
          </w:p>
        </w:tc>
        <w:tc>
          <w:tcPr>
            <w:tcW w:w="3260" w:type="dxa"/>
            <w:vAlign w:val="center"/>
          </w:tcPr>
          <w:p w:rsidR="00DA4FFF" w:rsidRPr="00DA4FFF" w:rsidRDefault="00DA4FFF" w:rsidP="00DA4FFF">
            <w:pPr>
              <w:keepNext/>
              <w:autoSpaceDE w:val="0"/>
              <w:autoSpaceDN w:val="0"/>
              <w:adjustRightInd w:val="0"/>
              <w:rPr>
                <w:b/>
                <w:sz w:val="20"/>
                <w:szCs w:val="20"/>
              </w:rPr>
            </w:pPr>
            <w:r w:rsidRPr="00DA4FFF">
              <w:rPr>
                <w:sz w:val="20"/>
                <w:szCs w:val="20"/>
              </w:rPr>
              <w:t xml:space="preserve">Acesso ao </w:t>
            </w:r>
            <w:proofErr w:type="gramStart"/>
            <w:r w:rsidRPr="00DA4FFF">
              <w:rPr>
                <w:sz w:val="20"/>
                <w:szCs w:val="20"/>
              </w:rPr>
              <w:t>FGHab</w:t>
            </w:r>
            <w:proofErr w:type="gramEnd"/>
            <w:r w:rsidRPr="00DA4FFF">
              <w:rPr>
                <w:sz w:val="20"/>
                <w:szCs w:val="20"/>
              </w:rPr>
              <w:t>; juros reduzido; descontos nos custos cartoriais</w:t>
            </w:r>
          </w:p>
        </w:tc>
      </w:tr>
    </w:tbl>
    <w:p w:rsidR="00DA4FFF" w:rsidRPr="00DA4FFF" w:rsidRDefault="00DA4FFF" w:rsidP="00DA4FFF">
      <w:pPr>
        <w:autoSpaceDE w:val="0"/>
        <w:autoSpaceDN w:val="0"/>
        <w:adjustRightInd w:val="0"/>
        <w:jc w:val="both"/>
        <w:rPr>
          <w:sz w:val="20"/>
          <w:szCs w:val="20"/>
        </w:rPr>
      </w:pPr>
      <w:bookmarkStart w:id="8" w:name="_Toc467500614"/>
      <w:r w:rsidRPr="00DA4FFF">
        <w:rPr>
          <w:sz w:val="20"/>
          <w:szCs w:val="20"/>
        </w:rPr>
        <w:t xml:space="preserve">Quadro </w:t>
      </w:r>
      <w:r w:rsidRPr="00DA4FFF">
        <w:rPr>
          <w:sz w:val="20"/>
          <w:szCs w:val="20"/>
        </w:rPr>
        <w:fldChar w:fldCharType="begin"/>
      </w:r>
      <w:r w:rsidRPr="00DA4FFF">
        <w:rPr>
          <w:sz w:val="20"/>
          <w:szCs w:val="20"/>
        </w:rPr>
        <w:instrText xml:space="preserve"> SEQ Quadro \* ARABIC </w:instrText>
      </w:r>
      <w:r w:rsidRPr="00DA4FFF">
        <w:rPr>
          <w:sz w:val="20"/>
          <w:szCs w:val="20"/>
        </w:rPr>
        <w:fldChar w:fldCharType="separate"/>
      </w:r>
      <w:r w:rsidRPr="00DA4FFF">
        <w:rPr>
          <w:noProof/>
          <w:sz w:val="20"/>
          <w:szCs w:val="20"/>
        </w:rPr>
        <w:t>1</w:t>
      </w:r>
      <w:r w:rsidRPr="00DA4FFF">
        <w:rPr>
          <w:noProof/>
          <w:sz w:val="20"/>
          <w:szCs w:val="20"/>
        </w:rPr>
        <w:fldChar w:fldCharType="end"/>
      </w:r>
      <w:r w:rsidRPr="00DA4FFF">
        <w:rPr>
          <w:noProof/>
          <w:sz w:val="20"/>
          <w:szCs w:val="20"/>
        </w:rPr>
        <w:t xml:space="preserve"> </w:t>
      </w:r>
      <w:r w:rsidRPr="00DA4FFF">
        <w:rPr>
          <w:sz w:val="20"/>
          <w:szCs w:val="20"/>
        </w:rPr>
        <w:t>- Informações sobre as faixas de atendimento do PMCMV</w:t>
      </w:r>
      <w:bookmarkEnd w:id="8"/>
    </w:p>
    <w:p w:rsidR="00DA4FFF" w:rsidRPr="00DA4FFF" w:rsidRDefault="00DA4FFF" w:rsidP="00DA4FFF">
      <w:pPr>
        <w:autoSpaceDE w:val="0"/>
        <w:autoSpaceDN w:val="0"/>
        <w:adjustRightInd w:val="0"/>
        <w:jc w:val="both"/>
        <w:rPr>
          <w:sz w:val="20"/>
          <w:szCs w:val="20"/>
        </w:rPr>
      </w:pPr>
      <w:r w:rsidRPr="00DA4FFF">
        <w:rPr>
          <w:sz w:val="20"/>
          <w:szCs w:val="20"/>
        </w:rPr>
        <w:t>Fonte: Rodrigues (2015, p. 46).</w:t>
      </w:r>
    </w:p>
    <w:p w:rsidR="00DA4FFF" w:rsidRPr="00DA4FFF" w:rsidRDefault="00DA4FFF" w:rsidP="00DA4FFF">
      <w:pPr>
        <w:autoSpaceDE w:val="0"/>
        <w:autoSpaceDN w:val="0"/>
        <w:adjustRightInd w:val="0"/>
        <w:jc w:val="both"/>
        <w:rPr>
          <w:sz w:val="20"/>
          <w:szCs w:val="20"/>
        </w:rPr>
      </w:pPr>
    </w:p>
    <w:p w:rsidR="00DA4FFF" w:rsidRPr="00DA4FFF" w:rsidRDefault="00DA4FFF" w:rsidP="00DA4FFF">
      <w:pPr>
        <w:autoSpaceDE w:val="0"/>
        <w:autoSpaceDN w:val="0"/>
        <w:adjustRightInd w:val="0"/>
        <w:spacing w:after="120"/>
        <w:jc w:val="both"/>
      </w:pPr>
      <w:r w:rsidRPr="00DA4FFF">
        <w:t xml:space="preserve">Para proporcionar o acesso à Faixa </w:t>
      </w:r>
      <w:proofErr w:type="gramStart"/>
      <w:r w:rsidRPr="00DA4FFF">
        <w:t>1</w:t>
      </w:r>
      <w:proofErr w:type="gramEnd"/>
      <w:r w:rsidRPr="00DA4FFF">
        <w:t xml:space="preserve">, o poder público local assina um terno de adesão ao PMCMV, ficando responsável por criar áreas de interesse social com infraestrutura urbana e mecanismos para incentivar a produção de habitação popular. Assim, cabe aos municípios realizar o cadastro das famílias interessadas em participar do PMCMV Faixa </w:t>
      </w:r>
      <w:proofErr w:type="gramStart"/>
      <w:r w:rsidRPr="00DA4FFF">
        <w:t>1</w:t>
      </w:r>
      <w:proofErr w:type="gramEnd"/>
      <w:r w:rsidRPr="00DA4FFF">
        <w:t>, selecionar os beneficiados, acompanhar as famílias por um ano, sendo 6 meses que antecedem a mudança e 6 meses já na nova moradia (RODRIGUES, 2015).</w:t>
      </w:r>
    </w:p>
    <w:p w:rsidR="00DA4FFF" w:rsidRPr="00DA4FFF" w:rsidRDefault="00DA4FFF" w:rsidP="00DA4FFF">
      <w:pPr>
        <w:autoSpaceDE w:val="0"/>
        <w:autoSpaceDN w:val="0"/>
        <w:adjustRightInd w:val="0"/>
        <w:spacing w:after="120"/>
        <w:jc w:val="both"/>
      </w:pPr>
      <w:r w:rsidRPr="00DA4FFF">
        <w:rPr>
          <w:rFonts w:eastAsiaTheme="minorHAnsi"/>
        </w:rPr>
        <w:t xml:space="preserve">As operações relacionadas à Faixa </w:t>
      </w:r>
      <w:proofErr w:type="gramStart"/>
      <w:r w:rsidRPr="00DA4FFF">
        <w:rPr>
          <w:rFonts w:eastAsiaTheme="minorHAnsi"/>
        </w:rPr>
        <w:t>1</w:t>
      </w:r>
      <w:proofErr w:type="gramEnd"/>
      <w:r w:rsidRPr="00DA4FFF">
        <w:rPr>
          <w:rFonts w:eastAsiaTheme="minorHAnsi"/>
        </w:rPr>
        <w:t xml:space="preserve"> contam com recursos do </w:t>
      </w:r>
      <w:r w:rsidRPr="00DA4FFF">
        <w:t xml:space="preserve">Fundo Garantidor que são lastreado por recursos da União. Assim, permite a redução dos custos com base na eliminação dos seguros, nas operações contratadas por intermédio de entidades sem fins lucrativos, associações e cooperativas, os recursos são oriundos </w:t>
      </w:r>
      <w:r w:rsidRPr="00DA4FFF">
        <w:rPr>
          <w:rFonts w:eastAsiaTheme="minorHAnsi"/>
        </w:rPr>
        <w:t>do Fundo de Desenvolvimento Social - FDS (AMORE, 2015).</w:t>
      </w:r>
      <w:r w:rsidRPr="00DA4FFF">
        <w:t xml:space="preserve"> No entanto, conforme item </w:t>
      </w:r>
      <w:proofErr w:type="gramStart"/>
      <w:r w:rsidRPr="00DA4FFF">
        <w:t>4</w:t>
      </w:r>
      <w:proofErr w:type="gramEnd"/>
      <w:r w:rsidRPr="00DA4FFF">
        <w:t xml:space="preserve"> do anexo I da portaria 168, as operações de aquisição para a Faixa 1 têm como foco as capitais estaduais, regiões metropolitanas e nos municípios com população igual ou superior a 50.000 (cinquenta mil) habitantes (BRASIL, 2013).</w:t>
      </w:r>
    </w:p>
    <w:p w:rsidR="00DA4FFF" w:rsidRPr="00DA4FFF" w:rsidRDefault="00DA4FFF" w:rsidP="00DA4FFF">
      <w:pPr>
        <w:autoSpaceDE w:val="0"/>
        <w:autoSpaceDN w:val="0"/>
        <w:adjustRightInd w:val="0"/>
        <w:ind w:left="2268"/>
        <w:jc w:val="both"/>
        <w:rPr>
          <w:sz w:val="20"/>
          <w:szCs w:val="20"/>
        </w:rPr>
      </w:pPr>
      <w:r w:rsidRPr="00DA4FFF">
        <w:rPr>
          <w:sz w:val="20"/>
          <w:szCs w:val="20"/>
        </w:rPr>
        <w:t xml:space="preserve">Poderão, ainda, ser </w:t>
      </w:r>
      <w:proofErr w:type="gramStart"/>
      <w:r w:rsidRPr="00DA4FFF">
        <w:rPr>
          <w:sz w:val="20"/>
          <w:szCs w:val="20"/>
        </w:rPr>
        <w:t>implementadas</w:t>
      </w:r>
      <w:proofErr w:type="gramEnd"/>
      <w:r w:rsidRPr="00DA4FFF">
        <w:rPr>
          <w:sz w:val="20"/>
          <w:szCs w:val="20"/>
        </w:rPr>
        <w:t xml:space="preserve"> operações de aquisição de imóveis nos municípios com população entre vinte e cinquenta mil habitantes, desde que: a) possuam população urbana igual ou superior a setenta por cento de sua população total; b) apresentem taxa de crescimento populacional, entre os anos 2000 e 2010, superior à taxa verificada no respectivo Estado; e c) apresentem taxa de crescimento populacional, entre os anos 2007 e 2010, superior a cinco por cento (BRASIL, 2013).</w:t>
      </w:r>
    </w:p>
    <w:p w:rsidR="00DA4FFF" w:rsidRPr="00DA4FFF" w:rsidRDefault="00DA4FFF" w:rsidP="00DA4FFF">
      <w:pPr>
        <w:autoSpaceDE w:val="0"/>
        <w:autoSpaceDN w:val="0"/>
        <w:adjustRightInd w:val="0"/>
        <w:ind w:left="2268"/>
        <w:jc w:val="both"/>
        <w:rPr>
          <w:sz w:val="20"/>
          <w:szCs w:val="20"/>
        </w:rPr>
      </w:pPr>
    </w:p>
    <w:p w:rsidR="00DA4FFF" w:rsidRPr="00DA4FFF" w:rsidRDefault="00DA4FFF" w:rsidP="00DA4FFF">
      <w:pPr>
        <w:autoSpaceDE w:val="0"/>
        <w:autoSpaceDN w:val="0"/>
        <w:adjustRightInd w:val="0"/>
        <w:spacing w:after="120"/>
        <w:jc w:val="both"/>
      </w:pPr>
      <w:r w:rsidRPr="00DA4FFF">
        <w:lastRenderedPageBreak/>
        <w:t xml:space="preserve">Na modalidade Entidades, as famílias se organizam em forma de associação ou cooperativas, não havendo restrição quanto ao número de habitantes do município. No entanto, a Entidade Organizadora deverá ser uma entidade sem fins lucrativos, estar habilitada no Ministério das Cidades e se responsabilizar pela construção dos imóveis (BRASIL, 2014). </w:t>
      </w:r>
    </w:p>
    <w:p w:rsidR="00DA4FFF" w:rsidRPr="00DA4FFF" w:rsidRDefault="00DA4FFF" w:rsidP="00DA4FFF">
      <w:pPr>
        <w:autoSpaceDE w:val="0"/>
        <w:autoSpaceDN w:val="0"/>
        <w:adjustRightInd w:val="0"/>
        <w:spacing w:after="120"/>
        <w:jc w:val="both"/>
      </w:pPr>
      <w:r w:rsidRPr="00DA4FFF">
        <w:t xml:space="preserve">Já nas faixas </w:t>
      </w:r>
      <w:proofErr w:type="gramStart"/>
      <w:r w:rsidRPr="00DA4FFF">
        <w:t>2</w:t>
      </w:r>
      <w:proofErr w:type="gramEnd"/>
      <w:r w:rsidRPr="00DA4FFF">
        <w:t xml:space="preserve"> e 3, os recursos são oriundos do FGTS, sendo que as taxas de juros e os subsídios variam conforme a renda familiar (RODRIGUES, 2015). Visando ampliar o mercado habitacional e criar condições de atendimento às famílias com renda mensal de até 10 salários mínimos, estabeleceu-se um conjunto de subsídios de acordo com a renda do grupo familiar (RUFINO </w:t>
      </w:r>
      <w:proofErr w:type="gramStart"/>
      <w:r w:rsidRPr="00DA4FFF">
        <w:rPr>
          <w:i/>
        </w:rPr>
        <w:t>et</w:t>
      </w:r>
      <w:proofErr w:type="gramEnd"/>
      <w:r w:rsidRPr="00DA4FFF">
        <w:rPr>
          <w:i/>
        </w:rPr>
        <w:t xml:space="preserve"> al.</w:t>
      </w:r>
      <w:r w:rsidRPr="00DA4FFF">
        <w:t xml:space="preserve">, 2015). Os subsídios estabelecidos no programa são diretos e indiretos. Ambos são destinados às Faixas </w:t>
      </w:r>
      <w:proofErr w:type="gramStart"/>
      <w:r w:rsidRPr="00DA4FFF">
        <w:t>1</w:t>
      </w:r>
      <w:proofErr w:type="gramEnd"/>
      <w:r w:rsidRPr="00DA4FFF">
        <w:t xml:space="preserve"> e 2, sendo que na Faixa 1 pode chegar a 96% do valor financiado e o crédito destinado a essas famílias deve ser pago em 10 anos e na Faixa 2, o valor subsidiado pode chegar a R$25.000,00. Quanto aos subsídios indiretos, estes se referem à variação das taxas de juros (RUFINO </w:t>
      </w:r>
      <w:proofErr w:type="gramStart"/>
      <w:r w:rsidRPr="00DA4FFF">
        <w:rPr>
          <w:i/>
        </w:rPr>
        <w:t>et</w:t>
      </w:r>
      <w:proofErr w:type="gramEnd"/>
      <w:r w:rsidRPr="00DA4FFF">
        <w:rPr>
          <w:i/>
        </w:rPr>
        <w:t xml:space="preserve"> al.</w:t>
      </w:r>
      <w:r w:rsidRPr="00DA4FFF">
        <w:t>, 2015).</w:t>
      </w:r>
    </w:p>
    <w:p w:rsidR="00DA4FFF" w:rsidRPr="00DA4FFF" w:rsidRDefault="00DA4FFF" w:rsidP="00DA4FFF">
      <w:pPr>
        <w:autoSpaceDE w:val="0"/>
        <w:autoSpaceDN w:val="0"/>
        <w:adjustRightInd w:val="0"/>
        <w:spacing w:after="120"/>
        <w:jc w:val="both"/>
      </w:pPr>
      <w:r w:rsidRPr="00DA4FFF">
        <w:t xml:space="preserve">Além da modalidade de aquisição por intermédio de </w:t>
      </w:r>
      <w:proofErr w:type="gramStart"/>
      <w:r w:rsidRPr="00DA4FFF">
        <w:t>incorporadora/construtora</w:t>
      </w:r>
      <w:proofErr w:type="gramEnd"/>
      <w:r w:rsidRPr="00DA4FFF">
        <w:t>, a pessoa física interessada, pode pleitear o financiamento direto em uma agência da Caixa Econômica Federal, a qual analisa a proposta e enquadra o participante de acordo com sua faixa de renda. Para tanto, caso a unidade habitacional pretendida não tenha sido construída no PMCMV é preciso que o preço de venda esteja dentro do limite estabelecido para o município de localização do imóvel (RODRIGUES, 2015), conforme Tabela 2.</w:t>
      </w:r>
    </w:p>
    <w:p w:rsidR="00DA4FFF" w:rsidRPr="000C6BD2" w:rsidRDefault="00DA4FFF" w:rsidP="00DA4FFF">
      <w:pPr>
        <w:autoSpaceDE w:val="0"/>
        <w:autoSpaceDN w:val="0"/>
        <w:adjustRightInd w:val="0"/>
      </w:pPr>
    </w:p>
    <w:tbl>
      <w:tblPr>
        <w:tblW w:w="491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8"/>
        <w:gridCol w:w="3600"/>
        <w:gridCol w:w="1396"/>
        <w:gridCol w:w="1451"/>
        <w:gridCol w:w="1949"/>
      </w:tblGrid>
      <w:tr w:rsidR="00DA4FFF" w:rsidRPr="00DA4FFF" w:rsidTr="00DA4FFF">
        <w:trPr>
          <w:trHeight w:val="20"/>
          <w:jc w:val="center"/>
        </w:trPr>
        <w:tc>
          <w:tcPr>
            <w:tcW w:w="399" w:type="pct"/>
            <w:tcBorders>
              <w:top w:val="single" w:sz="4" w:space="0" w:color="auto"/>
              <w:bottom w:val="nil"/>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single" w:sz="4" w:space="0" w:color="auto"/>
              <w:left w:val="nil"/>
              <w:bottom w:val="nil"/>
              <w:right w:val="nil"/>
            </w:tcBorders>
            <w:vAlign w:val="center"/>
          </w:tcPr>
          <w:p w:rsidR="00DA4FFF" w:rsidRPr="00DA4FFF" w:rsidRDefault="00DA4FFF" w:rsidP="00DA4FFF">
            <w:pPr>
              <w:autoSpaceDE w:val="0"/>
              <w:autoSpaceDN w:val="0"/>
              <w:adjustRightInd w:val="0"/>
              <w:jc w:val="center"/>
              <w:rPr>
                <w:b/>
                <w:sz w:val="20"/>
                <w:szCs w:val="20"/>
              </w:rPr>
            </w:pPr>
          </w:p>
        </w:tc>
        <w:tc>
          <w:tcPr>
            <w:tcW w:w="765" w:type="pct"/>
            <w:tcBorders>
              <w:top w:val="single" w:sz="4" w:space="0" w:color="auto"/>
              <w:left w:val="nil"/>
              <w:bottom w:val="nil"/>
              <w:right w:val="nil"/>
            </w:tcBorders>
            <w:vAlign w:val="center"/>
          </w:tcPr>
          <w:p w:rsidR="00DA4FFF" w:rsidRPr="00DA4FFF" w:rsidRDefault="00DA4FFF" w:rsidP="00DA4FFF">
            <w:pPr>
              <w:autoSpaceDE w:val="0"/>
              <w:autoSpaceDN w:val="0"/>
              <w:adjustRightInd w:val="0"/>
              <w:jc w:val="center"/>
              <w:rPr>
                <w:b/>
                <w:sz w:val="20"/>
                <w:szCs w:val="20"/>
              </w:rPr>
            </w:pPr>
            <w:r w:rsidRPr="00DA4FFF">
              <w:rPr>
                <w:b/>
                <w:sz w:val="20"/>
                <w:szCs w:val="20"/>
              </w:rPr>
              <w:t xml:space="preserve">PMCMV I </w:t>
            </w:r>
          </w:p>
          <w:p w:rsidR="00DA4FFF" w:rsidRPr="00DA4FFF" w:rsidRDefault="00DA4FFF" w:rsidP="00DA4FFF">
            <w:pPr>
              <w:autoSpaceDE w:val="0"/>
              <w:autoSpaceDN w:val="0"/>
              <w:adjustRightInd w:val="0"/>
              <w:jc w:val="center"/>
              <w:rPr>
                <w:b/>
                <w:sz w:val="20"/>
                <w:szCs w:val="20"/>
              </w:rPr>
            </w:pPr>
            <w:r w:rsidRPr="00DA4FFF">
              <w:rPr>
                <w:b/>
                <w:sz w:val="20"/>
                <w:szCs w:val="20"/>
              </w:rPr>
              <w:t xml:space="preserve"> (2009-2010)</w:t>
            </w:r>
          </w:p>
        </w:tc>
        <w:tc>
          <w:tcPr>
            <w:tcW w:w="1863" w:type="pct"/>
            <w:gridSpan w:val="2"/>
            <w:tcBorders>
              <w:top w:val="single" w:sz="4" w:space="0" w:color="auto"/>
              <w:left w:val="nil"/>
              <w:bottom w:val="nil"/>
            </w:tcBorders>
            <w:vAlign w:val="center"/>
          </w:tcPr>
          <w:p w:rsidR="00DA4FFF" w:rsidRPr="00DA4FFF" w:rsidRDefault="00DA4FFF" w:rsidP="00DA4FFF">
            <w:pPr>
              <w:autoSpaceDE w:val="0"/>
              <w:autoSpaceDN w:val="0"/>
              <w:adjustRightInd w:val="0"/>
              <w:jc w:val="center"/>
              <w:rPr>
                <w:b/>
                <w:sz w:val="20"/>
                <w:szCs w:val="20"/>
              </w:rPr>
            </w:pPr>
            <w:r w:rsidRPr="00DA4FFF">
              <w:rPr>
                <w:b/>
                <w:sz w:val="20"/>
                <w:szCs w:val="20"/>
              </w:rPr>
              <w:t xml:space="preserve">PMCMV II </w:t>
            </w:r>
          </w:p>
          <w:p w:rsidR="00DA4FFF" w:rsidRPr="00DA4FFF" w:rsidRDefault="00DA4FFF" w:rsidP="00DA4FFF">
            <w:pPr>
              <w:autoSpaceDE w:val="0"/>
              <w:autoSpaceDN w:val="0"/>
              <w:adjustRightInd w:val="0"/>
              <w:jc w:val="center"/>
              <w:rPr>
                <w:b/>
                <w:sz w:val="20"/>
                <w:szCs w:val="20"/>
              </w:rPr>
            </w:pPr>
            <w:r w:rsidRPr="00DA4FFF">
              <w:rPr>
                <w:b/>
                <w:sz w:val="20"/>
                <w:szCs w:val="20"/>
              </w:rPr>
              <w:t xml:space="preserve"> (2011 – 2015)</w:t>
            </w:r>
          </w:p>
        </w:tc>
      </w:tr>
      <w:tr w:rsidR="00DA4FFF" w:rsidRPr="00DA4FFF" w:rsidTr="00DA4FFF">
        <w:trPr>
          <w:trHeight w:val="20"/>
          <w:jc w:val="center"/>
        </w:trPr>
        <w:tc>
          <w:tcPr>
            <w:tcW w:w="399" w:type="pct"/>
            <w:tcBorders>
              <w:top w:val="nil"/>
              <w:bottom w:val="nil"/>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p>
        </w:tc>
        <w:tc>
          <w:tcPr>
            <w:tcW w:w="76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Valor do Imóvel</w:t>
            </w:r>
          </w:p>
        </w:tc>
        <w:tc>
          <w:tcPr>
            <w:tcW w:w="1863" w:type="pct"/>
            <w:gridSpan w:val="2"/>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Valor do Imóvel</w:t>
            </w:r>
          </w:p>
        </w:tc>
      </w:tr>
      <w:tr w:rsidR="00DA4FFF" w:rsidRPr="00DA4FFF" w:rsidTr="00DA4FFF">
        <w:trPr>
          <w:trHeight w:val="20"/>
          <w:jc w:val="center"/>
        </w:trPr>
        <w:tc>
          <w:tcPr>
            <w:tcW w:w="399" w:type="pct"/>
            <w:vMerge w:val="restart"/>
            <w:tcBorders>
              <w:top w:val="nil"/>
              <w:right w:val="nil"/>
            </w:tcBorders>
            <w:vAlign w:val="center"/>
          </w:tcPr>
          <w:p w:rsidR="00DA4FFF" w:rsidRPr="00DA4FFF" w:rsidRDefault="00DA4FFF" w:rsidP="00DA4FFF">
            <w:pPr>
              <w:autoSpaceDE w:val="0"/>
              <w:autoSpaceDN w:val="0"/>
              <w:adjustRightInd w:val="0"/>
              <w:jc w:val="center"/>
              <w:rPr>
                <w:b/>
                <w:sz w:val="20"/>
                <w:szCs w:val="20"/>
              </w:rPr>
            </w:pPr>
            <w:r w:rsidRPr="00DA4FFF">
              <w:rPr>
                <w:b/>
                <w:sz w:val="20"/>
                <w:szCs w:val="20"/>
              </w:rPr>
              <w:t xml:space="preserve">Faixa </w:t>
            </w:r>
            <w:proofErr w:type="gramStart"/>
            <w:r w:rsidRPr="00DA4FFF">
              <w:rPr>
                <w:b/>
                <w:sz w:val="20"/>
                <w:szCs w:val="20"/>
              </w:rPr>
              <w:t>1</w:t>
            </w:r>
            <w:proofErr w:type="gramEnd"/>
          </w:p>
        </w:tc>
        <w:tc>
          <w:tcPr>
            <w:tcW w:w="1973" w:type="pct"/>
            <w:tcBorders>
              <w:top w:val="nil"/>
              <w:left w:val="nil"/>
              <w:bottom w:val="nil"/>
              <w:right w:val="nil"/>
            </w:tcBorders>
            <w:vAlign w:val="center"/>
          </w:tcPr>
          <w:p w:rsidR="00DA4FFF" w:rsidRPr="00DA4FFF" w:rsidRDefault="00DA4FFF" w:rsidP="00DA4FFF">
            <w:pPr>
              <w:autoSpaceDE w:val="0"/>
              <w:autoSpaceDN w:val="0"/>
              <w:adjustRightInd w:val="0"/>
              <w:rPr>
                <w:sz w:val="20"/>
                <w:szCs w:val="20"/>
              </w:rPr>
            </w:pPr>
            <w:r w:rsidRPr="00DA4FFF">
              <w:rPr>
                <w:sz w:val="20"/>
                <w:szCs w:val="20"/>
              </w:rPr>
              <w:t>Regiões Metropolitanas (RJ, SP, DF</w:t>
            </w:r>
            <w:proofErr w:type="gramStart"/>
            <w:r w:rsidRPr="00DA4FFF">
              <w:rPr>
                <w:sz w:val="20"/>
                <w:szCs w:val="20"/>
              </w:rPr>
              <w:t>)</w:t>
            </w:r>
            <w:proofErr w:type="gramEnd"/>
          </w:p>
        </w:tc>
        <w:tc>
          <w:tcPr>
            <w:tcW w:w="76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52 mil</w:t>
            </w:r>
          </w:p>
        </w:tc>
        <w:tc>
          <w:tcPr>
            <w:tcW w:w="1863" w:type="pct"/>
            <w:gridSpan w:val="2"/>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76 mil</w:t>
            </w:r>
          </w:p>
        </w:tc>
      </w:tr>
      <w:tr w:rsidR="00DA4FFF" w:rsidRPr="00DA4FFF" w:rsidTr="00DA4FFF">
        <w:trPr>
          <w:trHeight w:val="20"/>
          <w:jc w:val="center"/>
        </w:trPr>
        <w:tc>
          <w:tcPr>
            <w:tcW w:w="399" w:type="pct"/>
            <w:vMerge/>
            <w:tcBorders>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nil"/>
              <w:right w:val="nil"/>
            </w:tcBorders>
            <w:vAlign w:val="center"/>
          </w:tcPr>
          <w:p w:rsidR="00DA4FFF" w:rsidRPr="00DA4FFF" w:rsidRDefault="00DA4FFF" w:rsidP="00DA4FFF">
            <w:pPr>
              <w:autoSpaceDE w:val="0"/>
              <w:autoSpaceDN w:val="0"/>
              <w:adjustRightInd w:val="0"/>
              <w:rPr>
                <w:sz w:val="20"/>
                <w:szCs w:val="20"/>
              </w:rPr>
            </w:pPr>
            <w:r w:rsidRPr="00DA4FFF">
              <w:rPr>
                <w:sz w:val="20"/>
                <w:szCs w:val="20"/>
              </w:rPr>
              <w:t>Cidades com mais de 100 mil habitantes</w:t>
            </w:r>
          </w:p>
        </w:tc>
        <w:tc>
          <w:tcPr>
            <w:tcW w:w="76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37 mil</w:t>
            </w:r>
          </w:p>
        </w:tc>
        <w:tc>
          <w:tcPr>
            <w:tcW w:w="1863" w:type="pct"/>
            <w:gridSpan w:val="2"/>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65 mil</w:t>
            </w:r>
          </w:p>
        </w:tc>
      </w:tr>
      <w:tr w:rsidR="00DA4FFF" w:rsidRPr="00DA4FFF" w:rsidTr="00DA4FFF">
        <w:trPr>
          <w:trHeight w:val="20"/>
          <w:jc w:val="center"/>
        </w:trPr>
        <w:tc>
          <w:tcPr>
            <w:tcW w:w="399" w:type="pct"/>
            <w:vMerge/>
            <w:tcBorders>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nil"/>
              <w:right w:val="nil"/>
            </w:tcBorders>
            <w:vAlign w:val="center"/>
          </w:tcPr>
          <w:p w:rsidR="00DA4FFF" w:rsidRPr="00DA4FFF" w:rsidRDefault="00DA4FFF" w:rsidP="00DA4FFF">
            <w:pPr>
              <w:autoSpaceDE w:val="0"/>
              <w:autoSpaceDN w:val="0"/>
              <w:adjustRightInd w:val="0"/>
              <w:rPr>
                <w:sz w:val="20"/>
                <w:szCs w:val="20"/>
              </w:rPr>
            </w:pPr>
            <w:r w:rsidRPr="00DA4FFF">
              <w:rPr>
                <w:sz w:val="20"/>
                <w:szCs w:val="20"/>
              </w:rPr>
              <w:t>Cidades de 50 a 100 mil habitantes</w:t>
            </w:r>
          </w:p>
        </w:tc>
        <w:tc>
          <w:tcPr>
            <w:tcW w:w="76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37 mil</w:t>
            </w:r>
          </w:p>
        </w:tc>
        <w:tc>
          <w:tcPr>
            <w:tcW w:w="1863" w:type="pct"/>
            <w:gridSpan w:val="2"/>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59 mil</w:t>
            </w:r>
          </w:p>
        </w:tc>
      </w:tr>
      <w:tr w:rsidR="00DA4FFF" w:rsidRPr="00DA4FFF" w:rsidTr="00DA4FFF">
        <w:trPr>
          <w:trHeight w:val="20"/>
          <w:jc w:val="center"/>
        </w:trPr>
        <w:tc>
          <w:tcPr>
            <w:tcW w:w="399" w:type="pct"/>
            <w:vMerge/>
            <w:tcBorders>
              <w:bottom w:val="single" w:sz="4" w:space="0" w:color="auto"/>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single" w:sz="4" w:space="0" w:color="auto"/>
              <w:right w:val="nil"/>
            </w:tcBorders>
            <w:vAlign w:val="center"/>
          </w:tcPr>
          <w:p w:rsidR="00DA4FFF" w:rsidRPr="00DA4FFF" w:rsidRDefault="00DA4FFF" w:rsidP="00DA4FFF">
            <w:pPr>
              <w:autoSpaceDE w:val="0"/>
              <w:autoSpaceDN w:val="0"/>
              <w:adjustRightInd w:val="0"/>
              <w:rPr>
                <w:sz w:val="20"/>
                <w:szCs w:val="20"/>
              </w:rPr>
            </w:pPr>
            <w:r w:rsidRPr="00DA4FFF">
              <w:rPr>
                <w:sz w:val="20"/>
                <w:szCs w:val="20"/>
              </w:rPr>
              <w:t>Demais Cidades</w:t>
            </w:r>
          </w:p>
        </w:tc>
        <w:tc>
          <w:tcPr>
            <w:tcW w:w="765" w:type="pct"/>
            <w:tcBorders>
              <w:top w:val="nil"/>
              <w:left w:val="nil"/>
              <w:bottom w:val="single" w:sz="4" w:space="0" w:color="auto"/>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37 mil</w:t>
            </w:r>
          </w:p>
        </w:tc>
        <w:tc>
          <w:tcPr>
            <w:tcW w:w="1863" w:type="pct"/>
            <w:gridSpan w:val="2"/>
            <w:tcBorders>
              <w:top w:val="nil"/>
              <w:left w:val="nil"/>
              <w:bottom w:val="single" w:sz="4" w:space="0" w:color="auto"/>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59 mil</w:t>
            </w:r>
          </w:p>
        </w:tc>
      </w:tr>
      <w:tr w:rsidR="00DA4FFF" w:rsidRPr="00DA4FFF" w:rsidTr="00DA4FFF">
        <w:trPr>
          <w:trHeight w:val="20"/>
          <w:jc w:val="center"/>
        </w:trPr>
        <w:tc>
          <w:tcPr>
            <w:tcW w:w="399" w:type="pct"/>
            <w:vMerge w:val="restart"/>
            <w:tcBorders>
              <w:top w:val="single" w:sz="4" w:space="0" w:color="auto"/>
              <w:right w:val="nil"/>
            </w:tcBorders>
            <w:vAlign w:val="center"/>
          </w:tcPr>
          <w:p w:rsidR="00DA4FFF" w:rsidRPr="00DA4FFF" w:rsidRDefault="00DA4FFF" w:rsidP="00DA4FFF">
            <w:pPr>
              <w:autoSpaceDE w:val="0"/>
              <w:autoSpaceDN w:val="0"/>
              <w:adjustRightInd w:val="0"/>
              <w:jc w:val="center"/>
              <w:rPr>
                <w:b/>
                <w:sz w:val="20"/>
                <w:szCs w:val="20"/>
              </w:rPr>
            </w:pPr>
            <w:r w:rsidRPr="00DA4FFF">
              <w:rPr>
                <w:b/>
                <w:sz w:val="20"/>
                <w:szCs w:val="20"/>
              </w:rPr>
              <w:t xml:space="preserve">Faixa </w:t>
            </w:r>
            <w:proofErr w:type="gramStart"/>
            <w:r w:rsidRPr="00DA4FFF">
              <w:rPr>
                <w:b/>
                <w:sz w:val="20"/>
                <w:szCs w:val="20"/>
              </w:rPr>
              <w:t>2</w:t>
            </w:r>
            <w:proofErr w:type="gramEnd"/>
            <w:r w:rsidRPr="00DA4FFF">
              <w:rPr>
                <w:b/>
                <w:sz w:val="20"/>
                <w:szCs w:val="20"/>
              </w:rPr>
              <w:t xml:space="preserve"> e 3</w:t>
            </w:r>
          </w:p>
        </w:tc>
        <w:tc>
          <w:tcPr>
            <w:tcW w:w="1973" w:type="pct"/>
            <w:tcBorders>
              <w:top w:val="single" w:sz="4" w:space="0" w:color="auto"/>
              <w:left w:val="nil"/>
              <w:bottom w:val="nil"/>
              <w:right w:val="nil"/>
            </w:tcBorders>
            <w:vAlign w:val="center"/>
          </w:tcPr>
          <w:p w:rsidR="00DA4FFF" w:rsidRPr="00DA4FFF" w:rsidRDefault="00DA4FFF" w:rsidP="00DA4FFF">
            <w:pPr>
              <w:autoSpaceDE w:val="0"/>
              <w:autoSpaceDN w:val="0"/>
              <w:adjustRightInd w:val="0"/>
              <w:rPr>
                <w:sz w:val="20"/>
                <w:szCs w:val="20"/>
              </w:rPr>
            </w:pPr>
          </w:p>
        </w:tc>
        <w:tc>
          <w:tcPr>
            <w:tcW w:w="765" w:type="pct"/>
            <w:tcBorders>
              <w:top w:val="single" w:sz="4" w:space="0" w:color="auto"/>
              <w:left w:val="nil"/>
              <w:bottom w:val="nil"/>
              <w:right w:val="nil"/>
            </w:tcBorders>
            <w:vAlign w:val="center"/>
          </w:tcPr>
          <w:p w:rsidR="00DA4FFF" w:rsidRPr="00DA4FFF" w:rsidRDefault="00DA4FFF" w:rsidP="00DA4FFF">
            <w:pPr>
              <w:autoSpaceDE w:val="0"/>
              <w:autoSpaceDN w:val="0"/>
              <w:adjustRightInd w:val="0"/>
              <w:jc w:val="center"/>
              <w:rPr>
                <w:sz w:val="20"/>
                <w:szCs w:val="20"/>
              </w:rPr>
            </w:pPr>
          </w:p>
        </w:tc>
        <w:tc>
          <w:tcPr>
            <w:tcW w:w="795" w:type="pct"/>
            <w:tcBorders>
              <w:top w:val="single" w:sz="4" w:space="0" w:color="auto"/>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Até 10-2011</w:t>
            </w:r>
          </w:p>
        </w:tc>
        <w:tc>
          <w:tcPr>
            <w:tcW w:w="1068" w:type="pct"/>
            <w:tcBorders>
              <w:top w:val="single" w:sz="4" w:space="0" w:color="auto"/>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 xml:space="preserve">A partir de 11-2011 </w:t>
            </w:r>
          </w:p>
        </w:tc>
      </w:tr>
      <w:tr w:rsidR="00DA4FFF" w:rsidRPr="00DA4FFF" w:rsidTr="00DA4FFF">
        <w:trPr>
          <w:trHeight w:val="20"/>
          <w:jc w:val="center"/>
        </w:trPr>
        <w:tc>
          <w:tcPr>
            <w:tcW w:w="399" w:type="pct"/>
            <w:vMerge/>
            <w:tcBorders>
              <w:top w:val="single" w:sz="4" w:space="0" w:color="auto"/>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nil"/>
              <w:right w:val="nil"/>
            </w:tcBorders>
            <w:vAlign w:val="center"/>
          </w:tcPr>
          <w:p w:rsidR="00DA4FFF" w:rsidRPr="00DA4FFF" w:rsidRDefault="00DA4FFF" w:rsidP="00DA4FFF">
            <w:pPr>
              <w:autoSpaceDE w:val="0"/>
              <w:autoSpaceDN w:val="0"/>
              <w:adjustRightInd w:val="0"/>
              <w:rPr>
                <w:sz w:val="20"/>
                <w:szCs w:val="20"/>
              </w:rPr>
            </w:pPr>
            <w:r w:rsidRPr="00DA4FFF">
              <w:rPr>
                <w:sz w:val="20"/>
                <w:szCs w:val="20"/>
              </w:rPr>
              <w:t>Regiões Metropolitanas (RJ, SP, DF</w:t>
            </w:r>
            <w:proofErr w:type="gramStart"/>
            <w:r w:rsidRPr="00DA4FFF">
              <w:rPr>
                <w:sz w:val="20"/>
                <w:szCs w:val="20"/>
              </w:rPr>
              <w:t>)</w:t>
            </w:r>
            <w:proofErr w:type="gramEnd"/>
          </w:p>
        </w:tc>
        <w:tc>
          <w:tcPr>
            <w:tcW w:w="76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130 mil</w:t>
            </w:r>
          </w:p>
        </w:tc>
        <w:tc>
          <w:tcPr>
            <w:tcW w:w="79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170 mil</w:t>
            </w:r>
          </w:p>
        </w:tc>
        <w:tc>
          <w:tcPr>
            <w:tcW w:w="1068"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190mil</w:t>
            </w:r>
          </w:p>
        </w:tc>
      </w:tr>
      <w:tr w:rsidR="00DA4FFF" w:rsidRPr="00DA4FFF" w:rsidTr="00DA4FFF">
        <w:trPr>
          <w:trHeight w:val="20"/>
          <w:jc w:val="center"/>
        </w:trPr>
        <w:tc>
          <w:tcPr>
            <w:tcW w:w="399" w:type="pct"/>
            <w:vMerge/>
            <w:tcBorders>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nil"/>
              <w:right w:val="nil"/>
            </w:tcBorders>
            <w:vAlign w:val="center"/>
          </w:tcPr>
          <w:p w:rsidR="00DA4FFF" w:rsidRPr="00DA4FFF" w:rsidRDefault="00DA4FFF" w:rsidP="00DA4FFF">
            <w:pPr>
              <w:autoSpaceDE w:val="0"/>
              <w:autoSpaceDN w:val="0"/>
              <w:adjustRightInd w:val="0"/>
              <w:rPr>
                <w:b/>
                <w:sz w:val="20"/>
                <w:szCs w:val="20"/>
              </w:rPr>
            </w:pPr>
            <w:r w:rsidRPr="00DA4FFF">
              <w:rPr>
                <w:sz w:val="20"/>
                <w:szCs w:val="20"/>
              </w:rPr>
              <w:t>Cidades com mais de 100 mil habitantes</w:t>
            </w:r>
          </w:p>
        </w:tc>
        <w:tc>
          <w:tcPr>
            <w:tcW w:w="76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100 mil</w:t>
            </w:r>
          </w:p>
        </w:tc>
        <w:tc>
          <w:tcPr>
            <w:tcW w:w="79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150 mil</w:t>
            </w:r>
          </w:p>
        </w:tc>
        <w:tc>
          <w:tcPr>
            <w:tcW w:w="1068"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170 mil</w:t>
            </w:r>
          </w:p>
        </w:tc>
      </w:tr>
      <w:tr w:rsidR="00DA4FFF" w:rsidRPr="00DA4FFF" w:rsidTr="00DA4FFF">
        <w:trPr>
          <w:trHeight w:val="20"/>
          <w:jc w:val="center"/>
        </w:trPr>
        <w:tc>
          <w:tcPr>
            <w:tcW w:w="399" w:type="pct"/>
            <w:vMerge/>
            <w:tcBorders>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nil"/>
              <w:right w:val="nil"/>
            </w:tcBorders>
            <w:vAlign w:val="center"/>
          </w:tcPr>
          <w:p w:rsidR="00DA4FFF" w:rsidRPr="00DA4FFF" w:rsidRDefault="00DA4FFF" w:rsidP="00DA4FFF">
            <w:pPr>
              <w:autoSpaceDE w:val="0"/>
              <w:autoSpaceDN w:val="0"/>
              <w:adjustRightInd w:val="0"/>
              <w:rPr>
                <w:b/>
                <w:sz w:val="20"/>
                <w:szCs w:val="20"/>
              </w:rPr>
            </w:pPr>
            <w:r w:rsidRPr="00DA4FFF">
              <w:rPr>
                <w:sz w:val="20"/>
                <w:szCs w:val="20"/>
              </w:rPr>
              <w:t>Cidades de 100 a 250 mil habitantes</w:t>
            </w:r>
          </w:p>
        </w:tc>
        <w:tc>
          <w:tcPr>
            <w:tcW w:w="76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80 mil</w:t>
            </w:r>
          </w:p>
        </w:tc>
        <w:tc>
          <w:tcPr>
            <w:tcW w:w="79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130 mil</w:t>
            </w:r>
          </w:p>
        </w:tc>
        <w:tc>
          <w:tcPr>
            <w:tcW w:w="1068"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145 mil</w:t>
            </w:r>
          </w:p>
        </w:tc>
      </w:tr>
      <w:tr w:rsidR="00DA4FFF" w:rsidRPr="00DA4FFF" w:rsidTr="00DA4FFF">
        <w:trPr>
          <w:trHeight w:val="20"/>
          <w:jc w:val="center"/>
        </w:trPr>
        <w:tc>
          <w:tcPr>
            <w:tcW w:w="399" w:type="pct"/>
            <w:vMerge/>
            <w:tcBorders>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nil"/>
              <w:right w:val="nil"/>
            </w:tcBorders>
            <w:vAlign w:val="center"/>
          </w:tcPr>
          <w:p w:rsidR="00DA4FFF" w:rsidRPr="00DA4FFF" w:rsidRDefault="00DA4FFF" w:rsidP="00DA4FFF">
            <w:pPr>
              <w:autoSpaceDE w:val="0"/>
              <w:autoSpaceDN w:val="0"/>
              <w:adjustRightInd w:val="0"/>
              <w:rPr>
                <w:b/>
                <w:sz w:val="20"/>
                <w:szCs w:val="20"/>
              </w:rPr>
            </w:pPr>
            <w:r w:rsidRPr="00DA4FFF">
              <w:rPr>
                <w:sz w:val="20"/>
                <w:szCs w:val="20"/>
              </w:rPr>
              <w:t>Cidades de 50 a 100 mil habitantes</w:t>
            </w:r>
          </w:p>
        </w:tc>
        <w:tc>
          <w:tcPr>
            <w:tcW w:w="76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80 mil</w:t>
            </w:r>
          </w:p>
        </w:tc>
        <w:tc>
          <w:tcPr>
            <w:tcW w:w="795"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100 mil</w:t>
            </w:r>
          </w:p>
        </w:tc>
        <w:tc>
          <w:tcPr>
            <w:tcW w:w="1068" w:type="pct"/>
            <w:tcBorders>
              <w:top w:val="nil"/>
              <w:left w:val="nil"/>
              <w:bottom w:val="nil"/>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115 mil</w:t>
            </w:r>
          </w:p>
        </w:tc>
      </w:tr>
      <w:tr w:rsidR="00DA4FFF" w:rsidRPr="00DA4FFF" w:rsidTr="00342C4E">
        <w:trPr>
          <w:trHeight w:val="20"/>
          <w:jc w:val="center"/>
        </w:trPr>
        <w:tc>
          <w:tcPr>
            <w:tcW w:w="399" w:type="pct"/>
            <w:vMerge/>
            <w:tcBorders>
              <w:bottom w:val="single" w:sz="4" w:space="0" w:color="auto"/>
              <w:right w:val="nil"/>
            </w:tcBorders>
            <w:vAlign w:val="center"/>
          </w:tcPr>
          <w:p w:rsidR="00DA4FFF" w:rsidRPr="00DA4FFF" w:rsidRDefault="00DA4FFF" w:rsidP="00DA4FFF">
            <w:pPr>
              <w:autoSpaceDE w:val="0"/>
              <w:autoSpaceDN w:val="0"/>
              <w:adjustRightInd w:val="0"/>
              <w:jc w:val="center"/>
              <w:rPr>
                <w:b/>
                <w:sz w:val="20"/>
                <w:szCs w:val="20"/>
              </w:rPr>
            </w:pPr>
          </w:p>
        </w:tc>
        <w:tc>
          <w:tcPr>
            <w:tcW w:w="1973" w:type="pct"/>
            <w:tcBorders>
              <w:top w:val="nil"/>
              <w:left w:val="nil"/>
              <w:bottom w:val="single" w:sz="4" w:space="0" w:color="auto"/>
              <w:right w:val="nil"/>
            </w:tcBorders>
            <w:vAlign w:val="center"/>
          </w:tcPr>
          <w:p w:rsidR="00DA4FFF" w:rsidRPr="00DA4FFF" w:rsidRDefault="00DA4FFF" w:rsidP="00DA4FFF">
            <w:pPr>
              <w:autoSpaceDE w:val="0"/>
              <w:autoSpaceDN w:val="0"/>
              <w:adjustRightInd w:val="0"/>
              <w:rPr>
                <w:b/>
                <w:sz w:val="20"/>
                <w:szCs w:val="20"/>
              </w:rPr>
            </w:pPr>
            <w:r w:rsidRPr="00DA4FFF">
              <w:rPr>
                <w:sz w:val="20"/>
                <w:szCs w:val="20"/>
              </w:rPr>
              <w:t>Demais Cidades</w:t>
            </w:r>
          </w:p>
        </w:tc>
        <w:tc>
          <w:tcPr>
            <w:tcW w:w="765" w:type="pct"/>
            <w:tcBorders>
              <w:top w:val="nil"/>
              <w:left w:val="nil"/>
              <w:bottom w:val="single" w:sz="4" w:space="0" w:color="auto"/>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80 mil</w:t>
            </w:r>
          </w:p>
        </w:tc>
        <w:tc>
          <w:tcPr>
            <w:tcW w:w="795" w:type="pct"/>
            <w:tcBorders>
              <w:top w:val="nil"/>
              <w:left w:val="nil"/>
              <w:bottom w:val="single" w:sz="4" w:space="0" w:color="auto"/>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90 mil</w:t>
            </w:r>
          </w:p>
        </w:tc>
        <w:tc>
          <w:tcPr>
            <w:tcW w:w="1068" w:type="pct"/>
            <w:tcBorders>
              <w:top w:val="nil"/>
              <w:left w:val="nil"/>
              <w:bottom w:val="single" w:sz="4" w:space="0" w:color="auto"/>
              <w:right w:val="nil"/>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90 mil</w:t>
            </w:r>
          </w:p>
        </w:tc>
      </w:tr>
      <w:tr w:rsidR="00342C4E" w:rsidRPr="00DA4FFF" w:rsidTr="00342C4E">
        <w:trPr>
          <w:trHeight w:val="20"/>
          <w:jc w:val="center"/>
        </w:trPr>
        <w:tc>
          <w:tcPr>
            <w:tcW w:w="5000" w:type="pct"/>
            <w:gridSpan w:val="5"/>
            <w:tcBorders>
              <w:top w:val="single" w:sz="4" w:space="0" w:color="auto"/>
              <w:bottom w:val="nil"/>
              <w:right w:val="nil"/>
            </w:tcBorders>
            <w:vAlign w:val="center"/>
          </w:tcPr>
          <w:p w:rsidR="00342C4E" w:rsidRPr="00DA4FFF" w:rsidRDefault="00342C4E" w:rsidP="00342C4E">
            <w:pPr>
              <w:autoSpaceDE w:val="0"/>
              <w:autoSpaceDN w:val="0"/>
              <w:adjustRightInd w:val="0"/>
              <w:rPr>
                <w:sz w:val="20"/>
                <w:szCs w:val="20"/>
              </w:rPr>
            </w:pPr>
            <w:r w:rsidRPr="00DA4FFF">
              <w:rPr>
                <w:sz w:val="20"/>
                <w:szCs w:val="20"/>
              </w:rPr>
              <w:t>Fonte: Adaptado de Andrade (2012)</w:t>
            </w:r>
          </w:p>
        </w:tc>
      </w:tr>
    </w:tbl>
    <w:p w:rsidR="00342C4E" w:rsidRDefault="00342C4E" w:rsidP="00342C4E">
      <w:pPr>
        <w:autoSpaceDE w:val="0"/>
        <w:autoSpaceDN w:val="0"/>
        <w:adjustRightInd w:val="0"/>
        <w:spacing w:before="120" w:after="120"/>
        <w:jc w:val="center"/>
        <w:rPr>
          <w:sz w:val="20"/>
          <w:szCs w:val="20"/>
        </w:rPr>
      </w:pPr>
      <w:r w:rsidRPr="00DA4FFF">
        <w:rPr>
          <w:sz w:val="20"/>
          <w:szCs w:val="20"/>
        </w:rPr>
        <w:t xml:space="preserve">Tabela </w:t>
      </w:r>
      <w:r w:rsidRPr="00DA4FFF">
        <w:rPr>
          <w:sz w:val="20"/>
          <w:szCs w:val="20"/>
        </w:rPr>
        <w:fldChar w:fldCharType="begin"/>
      </w:r>
      <w:r w:rsidRPr="00DA4FFF">
        <w:rPr>
          <w:sz w:val="20"/>
          <w:szCs w:val="20"/>
        </w:rPr>
        <w:instrText xml:space="preserve"> SEQ Tabela \* ARABIC </w:instrText>
      </w:r>
      <w:r w:rsidRPr="00DA4FFF">
        <w:rPr>
          <w:sz w:val="20"/>
          <w:szCs w:val="20"/>
        </w:rPr>
        <w:fldChar w:fldCharType="separate"/>
      </w:r>
      <w:r w:rsidRPr="00DA4FFF">
        <w:rPr>
          <w:noProof/>
          <w:sz w:val="20"/>
          <w:szCs w:val="20"/>
        </w:rPr>
        <w:t>2</w:t>
      </w:r>
      <w:r w:rsidRPr="00DA4FFF">
        <w:rPr>
          <w:noProof/>
          <w:sz w:val="20"/>
          <w:szCs w:val="20"/>
        </w:rPr>
        <w:fldChar w:fldCharType="end"/>
      </w:r>
      <w:r w:rsidRPr="00DA4FFF">
        <w:rPr>
          <w:sz w:val="20"/>
          <w:szCs w:val="20"/>
        </w:rPr>
        <w:t xml:space="preserve"> - Valores máximos para contratações no PMCMV</w:t>
      </w:r>
    </w:p>
    <w:p w:rsidR="00DA4FFF" w:rsidRPr="00DA4FFF" w:rsidRDefault="00DA4FFF" w:rsidP="00DA4FFF">
      <w:pPr>
        <w:autoSpaceDE w:val="0"/>
        <w:autoSpaceDN w:val="0"/>
        <w:adjustRightInd w:val="0"/>
        <w:jc w:val="both"/>
        <w:rPr>
          <w:sz w:val="20"/>
          <w:szCs w:val="20"/>
        </w:rPr>
      </w:pPr>
    </w:p>
    <w:p w:rsidR="00DA4FFF" w:rsidRPr="00DA4FFF" w:rsidRDefault="00DA4FFF" w:rsidP="00DA4FFF">
      <w:pPr>
        <w:autoSpaceDE w:val="0"/>
        <w:autoSpaceDN w:val="0"/>
        <w:adjustRightInd w:val="0"/>
        <w:jc w:val="both"/>
      </w:pPr>
      <w:r w:rsidRPr="00DA4FFF">
        <w:t xml:space="preserve">O PMCMV visa reduzir o déficit habitacional, promover emprego e renda, </w:t>
      </w:r>
      <w:proofErr w:type="gramStart"/>
      <w:r w:rsidRPr="00DA4FFF">
        <w:t>além de proporcionar às famílias de baixa renda condições atrativas</w:t>
      </w:r>
      <w:proofErr w:type="gramEnd"/>
      <w:r w:rsidRPr="00DA4FFF">
        <w:t xml:space="preserve"> para que estas possam adquirir uma moradia digna (BRASIL, 2014). No entanto, para adesão ao programa, a família deve atender algumas condições/requisitos, tais como: o grupo familiar não poderá ter participado de nenhum outro programa habitacional, não possuir residência própria ou financiamento habitacional, devendo ainda o rendimento familiar se enquadrar nas faixas salariais definidas para o programa (ANDRADE, 2012).</w:t>
      </w:r>
    </w:p>
    <w:p w:rsidR="00DA4FFF" w:rsidRPr="00DA4FFF" w:rsidRDefault="00DA4FFF" w:rsidP="00DA4FFF">
      <w:pPr>
        <w:autoSpaceDE w:val="0"/>
        <w:autoSpaceDN w:val="0"/>
        <w:adjustRightInd w:val="0"/>
        <w:ind w:firstLine="708"/>
        <w:jc w:val="both"/>
      </w:pPr>
    </w:p>
    <w:p w:rsidR="00DA4FFF" w:rsidRPr="00DA4FFF" w:rsidRDefault="00DA4FFF" w:rsidP="00DA4FFF">
      <w:pPr>
        <w:pStyle w:val="Ttulo2"/>
        <w:rPr>
          <w:szCs w:val="24"/>
        </w:rPr>
      </w:pPr>
      <w:bookmarkStart w:id="9" w:name="_Toc469305041"/>
      <w:r w:rsidRPr="00DA4FFF">
        <w:rPr>
          <w:szCs w:val="24"/>
        </w:rPr>
        <w:t>2.3 Avaliação da Satisfação dos Beneficiários</w:t>
      </w:r>
      <w:bookmarkEnd w:id="9"/>
    </w:p>
    <w:p w:rsidR="00DA4FFF" w:rsidRPr="00DA4FFF" w:rsidRDefault="00DA4FFF" w:rsidP="00DA4FFF">
      <w:pPr>
        <w:spacing w:after="120"/>
        <w:jc w:val="both"/>
      </w:pPr>
      <w:r w:rsidRPr="00DA4FFF">
        <w:t xml:space="preserve">A avaliação das políticas públicas faz-se necessária, uma vez que o processo de descentralização dos serviços públicos deve estar relacionado à melhoria das condições de atendimento das demandas sociais, tendo em vista que há transferência de recursos públicos para tal fim (REIS, 2013). </w:t>
      </w:r>
    </w:p>
    <w:p w:rsidR="00DA4FFF" w:rsidRPr="00DA4FFF" w:rsidRDefault="00DA4FFF" w:rsidP="00DA4FFF">
      <w:pPr>
        <w:spacing w:after="120"/>
      </w:pPr>
      <w:r w:rsidRPr="00DA4FFF">
        <w:lastRenderedPageBreak/>
        <w:t xml:space="preserve">Nesse sentido, Morais (2015 p. 59) </w:t>
      </w:r>
      <w:proofErr w:type="gramStart"/>
      <w:r w:rsidRPr="00DA4FFF">
        <w:t>destaca</w:t>
      </w:r>
      <w:proofErr w:type="gramEnd"/>
      <w:r w:rsidRPr="00DA4FFF">
        <w:t xml:space="preserve"> que:</w:t>
      </w:r>
    </w:p>
    <w:p w:rsidR="00DA4FFF" w:rsidRPr="00DA4FFF" w:rsidRDefault="00DA4FFF" w:rsidP="00DA4FFF">
      <w:pPr>
        <w:ind w:left="2268"/>
        <w:jc w:val="both"/>
        <w:rPr>
          <w:sz w:val="20"/>
          <w:szCs w:val="20"/>
        </w:rPr>
      </w:pPr>
      <w:r w:rsidRPr="00DA4FFF">
        <w:rPr>
          <w:sz w:val="20"/>
          <w:szCs w:val="20"/>
        </w:rPr>
        <w:t>As pesquisas de avaliação de ambientes construídos vêm conquistando cada vez mais destaque no diagnóstico da produção habitacional do país, contribuindo com informações essenciais para retroalimentar o processo de projeto e promover a melhoria da qualidade dos ambientes construídos, gerando maior valor para os clientes.</w:t>
      </w:r>
    </w:p>
    <w:p w:rsidR="00DA4FFF" w:rsidRPr="00DA4FFF" w:rsidRDefault="00DA4FFF" w:rsidP="00DA4FFF">
      <w:pPr>
        <w:jc w:val="both"/>
      </w:pPr>
      <w:r w:rsidRPr="00DA4FFF">
        <w:tab/>
      </w:r>
    </w:p>
    <w:p w:rsidR="00DA4FFF" w:rsidRPr="00DA4FFF" w:rsidRDefault="00DA4FFF" w:rsidP="00DA4FFF">
      <w:pPr>
        <w:spacing w:after="120"/>
        <w:jc w:val="both"/>
      </w:pPr>
      <w:r w:rsidRPr="00DA4FFF">
        <w:t xml:space="preserve">De acordo com Oliver (1980 </w:t>
      </w:r>
      <w:r w:rsidRPr="00DA4FFF">
        <w:rPr>
          <w:i/>
        </w:rPr>
        <w:t>apud</w:t>
      </w:r>
      <w:r w:rsidRPr="00DA4FFF">
        <w:t xml:space="preserve"> MORAIS, 2015, p. 39), “antes da aquisição, as expectativas influenciam a própria aquisição do produto ou serviço; após a aquisição as expectativas geram reações no cliente e fornecem insumos para comparação e avaliação das aquisições realizadas”. Conhecer as necessidades, percepções e valores do público-alvo, eleva a possibilidade de elaboração de programas mais adequados a sua clientela (REIS, 2013). É relevante incorporar a percepção dos beneficiá</w:t>
      </w:r>
      <w:r w:rsidRPr="00DA4FFF">
        <w:softHyphen/>
        <w:t>rios no processo de avaliação, pois são estes que de fato usufruem das moradias entregues e vivenciam seus resultados e implicações (MOREIRA; SILVEIRA, 2015).</w:t>
      </w:r>
    </w:p>
    <w:p w:rsidR="00DA4FFF" w:rsidRPr="00DA4FFF" w:rsidRDefault="00DA4FFF" w:rsidP="00DA4FFF">
      <w:pPr>
        <w:spacing w:after="120"/>
        <w:jc w:val="both"/>
      </w:pPr>
      <w:r w:rsidRPr="00DA4FFF">
        <w:t xml:space="preserve">Uma das características da avaliação </w:t>
      </w:r>
      <w:proofErr w:type="gramStart"/>
      <w:r w:rsidRPr="00DA4FFF">
        <w:t>pós ocupação</w:t>
      </w:r>
      <w:proofErr w:type="gramEnd"/>
      <w:r w:rsidRPr="00DA4FFF">
        <w:t xml:space="preserve"> refere-se à</w:t>
      </w:r>
      <w:r w:rsidRPr="00DA4FFF">
        <w:rPr>
          <w:rFonts w:eastAsiaTheme="minorHAnsi"/>
          <w:lang w:eastAsia="en-US"/>
        </w:rPr>
        <w:t xml:space="preserve"> participação ativa do usuário final, considerando suas necessidades e a percepção deste em relação à moradia adquirida, na qual a satisfação do cliente é representada pelo valor percebido, ou seja, a representação social da habitação para o consumidor final (MORAIS, 2015). A avaliação que esse faz sobre a aquisição de </w:t>
      </w:r>
      <w:r w:rsidRPr="00DA4FFF">
        <w:t xml:space="preserve">um imóvel por intermédio do PMCMV é significativa, pois refere-se </w:t>
      </w:r>
      <w:proofErr w:type="gramStart"/>
      <w:r w:rsidRPr="00DA4FFF">
        <w:t>a</w:t>
      </w:r>
      <w:proofErr w:type="gramEnd"/>
      <w:r w:rsidRPr="00DA4FFF">
        <w:t xml:space="preserve"> oportunidade singular, tendo em vista a restrição de participação única no programa.</w:t>
      </w:r>
    </w:p>
    <w:p w:rsidR="00DA4FFF" w:rsidRPr="00DA4FFF" w:rsidRDefault="00DA4FFF" w:rsidP="00DA4FFF">
      <w:pPr>
        <w:spacing w:after="120"/>
        <w:jc w:val="both"/>
        <w:rPr>
          <w:iCs/>
        </w:rPr>
      </w:pPr>
      <w:r w:rsidRPr="00DA4FFF">
        <w:t xml:space="preserve">Dentre os autores que estudaram a avaliação de políticas habitação, sobre a ótica de satisfação das famílias contempladas pelo PMCMV como usuário final, destacam-se Reis (2013); Morais (2015); </w:t>
      </w:r>
      <w:r w:rsidRPr="00DA4FFF">
        <w:rPr>
          <w:iCs/>
        </w:rPr>
        <w:t xml:space="preserve">Moreira e Silveira (2015). Todos concordam que a percepção do beneficiário pode contribuir para </w:t>
      </w:r>
      <w:proofErr w:type="gramStart"/>
      <w:r w:rsidRPr="00DA4FFF">
        <w:rPr>
          <w:iCs/>
        </w:rPr>
        <w:t>implementação</w:t>
      </w:r>
      <w:proofErr w:type="gramEnd"/>
      <w:r w:rsidRPr="00DA4FFF">
        <w:rPr>
          <w:iCs/>
        </w:rPr>
        <w:t xml:space="preserve"> de melhorias na habitação de interesse social. </w:t>
      </w:r>
    </w:p>
    <w:p w:rsidR="00DA4FFF" w:rsidRPr="00DA4FFF" w:rsidRDefault="00DA4FFF" w:rsidP="00DA4FFF">
      <w:pPr>
        <w:spacing w:after="120"/>
        <w:jc w:val="both"/>
      </w:pPr>
      <w:r w:rsidRPr="00DA4FFF">
        <w:rPr>
          <w:iCs/>
        </w:rPr>
        <w:t>Reis (2013) analisou</w:t>
      </w:r>
      <w:r w:rsidRPr="00DA4FFF">
        <w:t xml:space="preserve"> os resultados do PMCMV em Viçosa/MG, com ênfase na focalização e na percepção dos beneficiários, sob três dimensões, a unidade habitacional, o empreendimento e o seu entorno, por meio de análise multivariada. A autora estudou a percepção das famílias contempladas pelo PMCMV, como suporte para futuras </w:t>
      </w:r>
      <w:proofErr w:type="gramStart"/>
      <w:r w:rsidRPr="00DA4FFF">
        <w:t>implementações</w:t>
      </w:r>
      <w:proofErr w:type="gramEnd"/>
      <w:r w:rsidRPr="00DA4FFF">
        <w:t xml:space="preserve"> do programa, concluindo que este tipo de pesquisa “[...] é de grande importância para subsidiar os profissionais e gestores públicos como instrumentos para o aperfeiçoamento das políticas, com vistas à melhor alocação dos recursos e ao aumento do bem-estar da população” (REIS, 2013, p. 125). </w:t>
      </w:r>
    </w:p>
    <w:p w:rsidR="00DA4FFF" w:rsidRPr="00DA4FFF" w:rsidRDefault="00DA4FFF" w:rsidP="00DA4FFF">
      <w:pPr>
        <w:pStyle w:val="Default"/>
        <w:spacing w:after="120"/>
        <w:jc w:val="both"/>
        <w:rPr>
          <w:bCs/>
          <w:color w:val="auto"/>
        </w:rPr>
      </w:pPr>
      <w:r w:rsidRPr="00DA4FFF">
        <w:rPr>
          <w:color w:val="auto"/>
        </w:rPr>
        <w:t xml:space="preserve">Morais (2015) </w:t>
      </w:r>
      <w:r w:rsidRPr="00DA4FFF">
        <w:rPr>
          <w:bCs/>
          <w:color w:val="auto"/>
        </w:rPr>
        <w:t xml:space="preserve">estudou a percepção dos beneficiários do </w:t>
      </w:r>
      <w:r w:rsidRPr="00DA4FFF">
        <w:rPr>
          <w:color w:val="auto"/>
        </w:rPr>
        <w:t>PMCMV em três empreendimentos, nas cidades de Fortaleza, Maracanaú e Sobral, no estado do Ceará</w:t>
      </w:r>
      <w:r w:rsidRPr="00DA4FFF">
        <w:rPr>
          <w:bCs/>
          <w:color w:val="auto"/>
        </w:rPr>
        <w:t>. O método utilizado para coleta de dados foi g</w:t>
      </w:r>
      <w:r w:rsidRPr="00DA4FFF">
        <w:rPr>
          <w:color w:val="auto"/>
        </w:rPr>
        <w:t>rupo focal e entrevista, visando</w:t>
      </w:r>
      <w:r w:rsidRPr="00DA4FFF">
        <w:rPr>
          <w:bCs/>
          <w:color w:val="auto"/>
        </w:rPr>
        <w:t xml:space="preserve"> verificar os pontos de satisfação e insatisfação com a moradia e entorno, a fim de propor melhorias no projeto de habitação de interesse social a partir da ótica dos clientes finais. Assim, as</w:t>
      </w:r>
      <w:r w:rsidRPr="00DA4FFF">
        <w:rPr>
          <w:color w:val="auto"/>
        </w:rPr>
        <w:t xml:space="preserve"> insatisfações observadas foram transformadas em diretrizes de melhoria na habitação de interesse social.</w:t>
      </w:r>
    </w:p>
    <w:p w:rsidR="00DA4FFF" w:rsidRPr="00DA4FFF" w:rsidRDefault="00DA4FFF" w:rsidP="00DA4FFF">
      <w:pPr>
        <w:pStyle w:val="Default"/>
        <w:spacing w:after="120"/>
        <w:jc w:val="both"/>
        <w:rPr>
          <w:color w:val="auto"/>
        </w:rPr>
      </w:pPr>
      <w:r w:rsidRPr="00DA4FFF">
        <w:rPr>
          <w:color w:val="auto"/>
        </w:rPr>
        <w:t>Moreira e Silveira (2015) realizaram o estudo com 132 famílias, do primeiro conjunto habitacional do Minha Casa Minha Vida entregue em Viçosa/MG, com objetivo de verificar a percepção dos moradores para as categorias moradia, conjunto habitacional e entorno, a fim de construir indicadores de desempenho a partir da percepção dos beneficiários. Os autores destacaram que a construção de indicadores é um recurso metodológico útil e capaz de auxi</w:t>
      </w:r>
      <w:r w:rsidRPr="00DA4FFF">
        <w:rPr>
          <w:color w:val="auto"/>
        </w:rPr>
        <w:softHyphen/>
        <w:t>liar na avaliação dos programas sociais, uma vez que “for</w:t>
      </w:r>
      <w:r w:rsidRPr="00DA4FFF">
        <w:rPr>
          <w:color w:val="auto"/>
        </w:rPr>
        <w:softHyphen/>
        <w:t>necem importantes informações sobre a realidade habitacional e isso contribui para que o PMCMV alcance seus objetivos e se aprimore, desde que acompanhados e in</w:t>
      </w:r>
      <w:r w:rsidRPr="00DA4FFF">
        <w:rPr>
          <w:color w:val="auto"/>
        </w:rPr>
        <w:softHyphen/>
        <w:t>seridos em um sistema maior de monitora</w:t>
      </w:r>
      <w:r w:rsidRPr="00DA4FFF">
        <w:rPr>
          <w:color w:val="auto"/>
        </w:rPr>
        <w:softHyphen/>
        <w:t xml:space="preserve">mento e avaliação” (MOREIRA; SILVEIRA, 2015, p. 114). </w:t>
      </w:r>
    </w:p>
    <w:p w:rsidR="00DA4FFF" w:rsidRPr="00DA4FFF" w:rsidRDefault="00DA4FFF" w:rsidP="00DA4FFF">
      <w:pPr>
        <w:pStyle w:val="Default"/>
        <w:spacing w:after="120"/>
        <w:jc w:val="both"/>
        <w:rPr>
          <w:i/>
          <w:color w:val="auto"/>
        </w:rPr>
      </w:pPr>
      <w:r w:rsidRPr="00DA4FFF">
        <w:rPr>
          <w:color w:val="auto"/>
        </w:rPr>
        <w:lastRenderedPageBreak/>
        <w:t xml:space="preserve">Outro estudo relevante foi realizado pelo Instituto de Pesquisa Econômica Aplicada (IPEA), em parceria com a Secretária Nacional de Habitação e Ministério das Cidades, visando avaliar a percepção de satisfação dos beneficiários do PMCMV. O estudo compreendeu as famílias que receberam moradias da Faixa </w:t>
      </w:r>
      <w:proofErr w:type="gramStart"/>
      <w:r w:rsidRPr="00DA4FFF">
        <w:rPr>
          <w:color w:val="auto"/>
        </w:rPr>
        <w:t>1</w:t>
      </w:r>
      <w:proofErr w:type="gramEnd"/>
      <w:r w:rsidRPr="00DA4FFF">
        <w:rPr>
          <w:color w:val="auto"/>
        </w:rPr>
        <w:t xml:space="preserve">, até 31 de dezembro de 2012, sendo considerado uma amostra de 6.241 beneficiários do programa, por meio de coleta de dados por questionário, baseado na escala </w:t>
      </w:r>
      <w:proofErr w:type="spellStart"/>
      <w:r w:rsidRPr="00DA4FFF">
        <w:rPr>
          <w:i/>
          <w:color w:val="auto"/>
        </w:rPr>
        <w:t>Likert</w:t>
      </w:r>
      <w:proofErr w:type="spellEnd"/>
      <w:r w:rsidRPr="00DA4FFF">
        <w:rPr>
          <w:i/>
          <w:color w:val="auto"/>
        </w:rPr>
        <w:t xml:space="preserve"> </w:t>
      </w:r>
      <w:r w:rsidRPr="00DA4FFF">
        <w:rPr>
          <w:color w:val="auto"/>
        </w:rPr>
        <w:t>(BRASIL, 2014)</w:t>
      </w:r>
      <w:r w:rsidRPr="00DA4FFF">
        <w:rPr>
          <w:i/>
          <w:color w:val="auto"/>
        </w:rPr>
        <w:t xml:space="preserve">. </w:t>
      </w:r>
    </w:p>
    <w:p w:rsidR="00DA4FFF" w:rsidRPr="00DA4FFF" w:rsidRDefault="00DA4FFF" w:rsidP="00DA4FFF">
      <w:pPr>
        <w:pStyle w:val="Default"/>
        <w:spacing w:after="120"/>
        <w:jc w:val="both"/>
        <w:rPr>
          <w:color w:val="auto"/>
        </w:rPr>
      </w:pPr>
      <w:r w:rsidRPr="00DA4FFF">
        <w:rPr>
          <w:color w:val="auto"/>
        </w:rPr>
        <w:t xml:space="preserve">Como complemento ao estudo anterior, foi realizado um estudo de caso com </w:t>
      </w:r>
      <w:proofErr w:type="gramStart"/>
      <w:r w:rsidRPr="00DA4FFF">
        <w:rPr>
          <w:color w:val="auto"/>
        </w:rPr>
        <w:t>5</w:t>
      </w:r>
      <w:proofErr w:type="gramEnd"/>
      <w:r w:rsidRPr="00DA4FFF">
        <w:rPr>
          <w:color w:val="auto"/>
        </w:rPr>
        <w:t xml:space="preserve"> empreendimentos com base em amostra aleatória simples, sendo entrevistados 1.011 pessoas. Neste estudo, buscou-se atender às necessidades da Secretária Nacional de Habitação e Ministério das Cidades no sentido de orientar o aprimoramento dos programas habitacionais, no processo de planejamento e gestão dos programas, além de reiterar o compromisso com a difusão e a disseminação dos resultados alcançados, garantindo transparência e estimulando o controle social das políticas públicas urbanas (BRASIL, 2014). </w:t>
      </w:r>
    </w:p>
    <w:p w:rsidR="00DA4FFF" w:rsidRPr="00DA4FFF" w:rsidRDefault="00DA4FFF" w:rsidP="00DA4FFF">
      <w:pPr>
        <w:pStyle w:val="Default"/>
        <w:spacing w:after="120"/>
        <w:ind w:firstLine="709"/>
        <w:jc w:val="both"/>
        <w:rPr>
          <w:color w:val="auto"/>
        </w:rPr>
      </w:pPr>
    </w:p>
    <w:p w:rsidR="00DA4FFF" w:rsidRPr="00DA4FFF" w:rsidRDefault="00DA4FFF" w:rsidP="00DA4FFF">
      <w:pPr>
        <w:pStyle w:val="Ttulo1"/>
        <w:numPr>
          <w:ilvl w:val="0"/>
          <w:numId w:val="7"/>
        </w:numPr>
        <w:spacing w:before="0" w:after="120"/>
        <w:rPr>
          <w:rFonts w:ascii="Times New Roman" w:hAnsi="Times New Roman" w:cs="Times New Roman"/>
          <w:color w:val="auto"/>
          <w:sz w:val="24"/>
          <w:szCs w:val="24"/>
        </w:rPr>
      </w:pPr>
      <w:bookmarkStart w:id="10" w:name="_Toc463806398"/>
      <w:bookmarkStart w:id="11" w:name="_Toc469305042"/>
      <w:r w:rsidRPr="00DA4FFF">
        <w:rPr>
          <w:rFonts w:ascii="Times New Roman" w:hAnsi="Times New Roman" w:cs="Times New Roman"/>
          <w:color w:val="auto"/>
          <w:sz w:val="24"/>
          <w:szCs w:val="24"/>
        </w:rPr>
        <w:t>P</w:t>
      </w:r>
      <w:r w:rsidR="0036721B" w:rsidRPr="00DA4FFF">
        <w:rPr>
          <w:rFonts w:ascii="Times New Roman" w:hAnsi="Times New Roman" w:cs="Times New Roman"/>
          <w:color w:val="auto"/>
          <w:sz w:val="24"/>
          <w:szCs w:val="24"/>
        </w:rPr>
        <w:t>rocedimentos metodológicos</w:t>
      </w:r>
      <w:bookmarkEnd w:id="10"/>
      <w:bookmarkEnd w:id="11"/>
      <w:r w:rsidR="0036721B" w:rsidRPr="00DA4FFF">
        <w:rPr>
          <w:rFonts w:ascii="Times New Roman" w:hAnsi="Times New Roman" w:cs="Times New Roman"/>
          <w:b w:val="0"/>
          <w:color w:val="auto"/>
          <w:sz w:val="24"/>
          <w:szCs w:val="24"/>
        </w:rPr>
        <w:t xml:space="preserve">  </w:t>
      </w:r>
      <w:r w:rsidRPr="00DA4FFF">
        <w:rPr>
          <w:rFonts w:ascii="Times New Roman" w:hAnsi="Times New Roman" w:cs="Times New Roman"/>
          <w:b w:val="0"/>
          <w:color w:val="auto"/>
          <w:sz w:val="24"/>
          <w:szCs w:val="24"/>
        </w:rPr>
        <w:t xml:space="preserve">       </w:t>
      </w:r>
    </w:p>
    <w:p w:rsidR="00DA4FFF" w:rsidRPr="00DA4FFF" w:rsidRDefault="00DA4FFF" w:rsidP="00DA4FFF">
      <w:pPr>
        <w:spacing w:after="120"/>
        <w:jc w:val="both"/>
      </w:pPr>
      <w:r w:rsidRPr="00DA4FFF">
        <w:t xml:space="preserve">A presente pesquisa tem natureza aplicada, apresenta uma abordagem qualitativa e quantitativa, e classifica-se, quanto aos objetivos, como exploratória e descritiva, visto que busca conhecer a satisfação dos beneficiários do PMCMV I – II (2009-2015) em São </w:t>
      </w:r>
      <w:proofErr w:type="gramStart"/>
      <w:r w:rsidRPr="00DA4FFF">
        <w:t>Gotardo-MG</w:t>
      </w:r>
      <w:proofErr w:type="gramEnd"/>
      <w:r w:rsidRPr="00DA4FFF">
        <w:t>, a fim de proporcionar uma visão geral a cerca do problema (GIL, 2007). Buscou-se associar comentários e informações adicionais prestadas pelos informantes diretamente no formulário de coleta de dados a elementos quantificáveis. Conforme Flick (2009), a pesquisa quantitativa pode ser combinada com a pesquisa qualitativa visando fornecer um quadro mais abrangente da questão.</w:t>
      </w:r>
    </w:p>
    <w:p w:rsidR="00DA4FFF" w:rsidRPr="00DA4FFF" w:rsidRDefault="00DA4FFF" w:rsidP="00DA4FFF">
      <w:pPr>
        <w:spacing w:after="120"/>
        <w:jc w:val="both"/>
        <w:rPr>
          <w:rFonts w:eastAsiaTheme="minorHAnsi"/>
        </w:rPr>
      </w:pPr>
      <w:r w:rsidRPr="00DA4FFF">
        <w:rPr>
          <w:rFonts w:eastAsiaTheme="minorHAnsi"/>
        </w:rPr>
        <w:t xml:space="preserve">O estudo foi realizado na cidade de São </w:t>
      </w:r>
      <w:proofErr w:type="gramStart"/>
      <w:r w:rsidRPr="00DA4FFF">
        <w:rPr>
          <w:rFonts w:eastAsiaTheme="minorHAnsi"/>
        </w:rPr>
        <w:t>Gotardo -MG</w:t>
      </w:r>
      <w:proofErr w:type="gramEnd"/>
      <w:r w:rsidRPr="00DA4FFF">
        <w:rPr>
          <w:rFonts w:eastAsiaTheme="minorHAnsi"/>
        </w:rPr>
        <w:t xml:space="preserve">, situada na mesorregião do Alto Paranaíba, possui população estimada, para 2016, em 34.728 habitantes, com IDHM de 0,736 (FJP, 2016b) e </w:t>
      </w:r>
      <w:r w:rsidRPr="00DA4FFF">
        <w:rPr>
          <w:b/>
          <w:bCs/>
        </w:rPr>
        <w:t>í</w:t>
      </w:r>
      <w:r w:rsidRPr="00DA4FFF">
        <w:rPr>
          <w:rFonts w:eastAsiaTheme="minorHAnsi"/>
        </w:rPr>
        <w:t xml:space="preserve">ndice de GINI da renda domiciliar </w:t>
      </w:r>
      <w:r w:rsidRPr="00DA4FFF">
        <w:rPr>
          <w:rFonts w:eastAsiaTheme="minorHAnsi"/>
          <w:i/>
        </w:rPr>
        <w:t xml:space="preserve">per capita </w:t>
      </w:r>
      <w:r w:rsidRPr="00DA4FFF">
        <w:rPr>
          <w:rFonts w:eastAsiaTheme="minorHAnsi"/>
        </w:rPr>
        <w:t>em 2010 de 0,5173 (DATASUS, 2016).</w:t>
      </w:r>
    </w:p>
    <w:p w:rsidR="00DA4FFF" w:rsidRPr="00DA4FFF" w:rsidRDefault="00DA4FFF" w:rsidP="00DA4FFF">
      <w:pPr>
        <w:spacing w:after="120"/>
        <w:jc w:val="both"/>
      </w:pPr>
      <w:r w:rsidRPr="00DA4FFF">
        <w:t xml:space="preserve">Para o levantamento da população da pesquisa, </w:t>
      </w:r>
      <w:proofErr w:type="gramStart"/>
      <w:r w:rsidRPr="00DA4FFF">
        <w:t>utilizou-se</w:t>
      </w:r>
      <w:proofErr w:type="gramEnd"/>
      <w:r w:rsidRPr="00DA4FFF">
        <w:t xml:space="preserve"> dados fornecidos pelo Ministério das Cidades. Por meio do portal de acesso a informação, para obter o número de unidades habitacionais entregues aos moradores da cidade de São Gotardo/MG, durante o período de 2009-2015, </w:t>
      </w:r>
      <w:r w:rsidRPr="00DA4FFF">
        <w:rPr>
          <w:rFonts w:eastAsiaTheme="minorHAnsi"/>
        </w:rPr>
        <w:t>p</w:t>
      </w:r>
      <w:r w:rsidRPr="00DA4FFF">
        <w:t xml:space="preserve">or se tratar de população finita, ou seja, 1.145 famílias </w:t>
      </w:r>
      <w:r w:rsidRPr="00DA4FFF">
        <w:rPr>
          <w:rFonts w:eastAsiaTheme="minorHAnsi"/>
        </w:rPr>
        <w:t>(BRASIL, 2016b)</w:t>
      </w:r>
      <w:r w:rsidRPr="00DA4FFF">
        <w:t>, calculou-se a amostra considerando um índice de confiabilidade de 90% e nível de precisão de 5% (STEVESON, 1981). Assim, a amostra considerada neste estudo foi de 218 famílias, mas ao final da coleta, contou-se com 230 participantes.</w:t>
      </w:r>
    </w:p>
    <w:p w:rsidR="00DA4FFF" w:rsidRPr="00DA4FFF" w:rsidRDefault="00DA4FFF" w:rsidP="00DA4FFF">
      <w:pPr>
        <w:spacing w:after="120"/>
        <w:jc w:val="both"/>
      </w:pPr>
      <w:r w:rsidRPr="00DA4FFF">
        <w:t xml:space="preserve">O método utilizado para coleta de dados primários consiste em uma survey (ou levantamento), no qual foi aplicado questionário aos beneficiários do PMCMV na cidade de São </w:t>
      </w:r>
      <w:proofErr w:type="gramStart"/>
      <w:r w:rsidRPr="00DA4FFF">
        <w:t>Gotardo-MG</w:t>
      </w:r>
      <w:proofErr w:type="gramEnd"/>
      <w:r w:rsidRPr="00DA4FFF">
        <w:t xml:space="preserve">. O questionário constitui uma série de perguntas organizadas visando </w:t>
      </w:r>
      <w:proofErr w:type="gramStart"/>
      <w:r w:rsidRPr="00DA4FFF">
        <w:t>a</w:t>
      </w:r>
      <w:proofErr w:type="gramEnd"/>
      <w:r w:rsidRPr="00DA4FFF">
        <w:t xml:space="preserve"> coleta de dados para a pesquisa, mediante respostas fornecidas pelos informantes, sem assistência direta do pesquisador (FACHIN, 2006). </w:t>
      </w:r>
    </w:p>
    <w:p w:rsidR="00DA4FFF" w:rsidRPr="00DA4FFF" w:rsidRDefault="00DA4FFF" w:rsidP="00DA4FFF">
      <w:pPr>
        <w:spacing w:after="120"/>
        <w:jc w:val="both"/>
      </w:pPr>
      <w:r w:rsidRPr="00DA4FFF">
        <w:t xml:space="preserve">Para a coleta de dados, utilizou-se questionário, composto por 23 perguntas estruturadas, sendo que os itens </w:t>
      </w:r>
      <w:proofErr w:type="gramStart"/>
      <w:r w:rsidRPr="00DA4FFF">
        <w:t>1</w:t>
      </w:r>
      <w:proofErr w:type="gramEnd"/>
      <w:r w:rsidRPr="00DA4FFF">
        <w:t xml:space="preserve"> ao 6 buscaram identificar o perfil do participante; as perguntas de 7 a 22 referem-se à caracterização do Imóvel. A questão 23 teve o propósito de identificar a percepção dos beneficiários do PMCMV em relação ao imóvel entregue, utilizando a escala de </w:t>
      </w:r>
      <w:r w:rsidRPr="00DA4FFF">
        <w:rPr>
          <w:i/>
        </w:rPr>
        <w:t xml:space="preserve">Likert </w:t>
      </w:r>
      <w:r w:rsidRPr="00DA4FFF">
        <w:t xml:space="preserve">de </w:t>
      </w:r>
      <w:proofErr w:type="gramStart"/>
      <w:r w:rsidRPr="00DA4FFF">
        <w:t>5</w:t>
      </w:r>
      <w:proofErr w:type="gramEnd"/>
      <w:r w:rsidRPr="00DA4FFF">
        <w:t xml:space="preserve"> pontos</w:t>
      </w:r>
      <w:r w:rsidRPr="00DA4FFF">
        <w:rPr>
          <w:i/>
        </w:rPr>
        <w:t xml:space="preserve"> </w:t>
      </w:r>
      <w:r w:rsidRPr="00DA4FFF">
        <w:t xml:space="preserve">que, segundo Gil (2007), consiste na elaboração de questões solicitando às pessoas que se manifestem concordando ou discordando em relação ao enunciado proposto, a fim de identificar a satisfação do beneficiário em relação ao imóvel entregue. Procedeu-se à avaliação de vários itens, de modo que uma resposta que indica concordância </w:t>
      </w:r>
      <w:r w:rsidRPr="00DA4FFF">
        <w:lastRenderedPageBreak/>
        <w:t xml:space="preserve">plena recebe o valor mais alto, enquanto que aqueles itens em que o participante discorda totalmente da afirmativa </w:t>
      </w:r>
      <w:proofErr w:type="gramStart"/>
      <w:r w:rsidRPr="00DA4FFF">
        <w:t>é atribuído</w:t>
      </w:r>
      <w:proofErr w:type="gramEnd"/>
      <w:r w:rsidRPr="00DA4FFF">
        <w:t xml:space="preserve"> um valor mais baixo.</w:t>
      </w:r>
    </w:p>
    <w:p w:rsidR="00DA4FFF" w:rsidRPr="00DA4FFF" w:rsidRDefault="00DA4FFF" w:rsidP="00DA4FFF">
      <w:pPr>
        <w:spacing w:after="120"/>
        <w:jc w:val="both"/>
      </w:pPr>
      <w:r w:rsidRPr="00DA4FFF">
        <w:t>A coleta de dados ocorreu entre 15 de outubro e 30 de novembro de 2016, por intermédio d</w:t>
      </w:r>
      <w:r w:rsidRPr="00DA4FFF">
        <w:rPr>
          <w:shd w:val="clear" w:color="auto" w:fill="FFFFFF"/>
        </w:rPr>
        <w:t>e visitas às famílias contempladas pelo programa na cidade, sendo o questionário aplicado diretamente aos beneficiários do programa de forma presencial.</w:t>
      </w:r>
      <w:r w:rsidRPr="00DA4FFF">
        <w:t xml:space="preserve"> </w:t>
      </w:r>
    </w:p>
    <w:p w:rsidR="00DA4FFF" w:rsidRPr="00DA4FFF" w:rsidRDefault="00DA4FFF" w:rsidP="00DA4FFF">
      <w:pPr>
        <w:spacing w:after="120"/>
        <w:jc w:val="both"/>
      </w:pPr>
      <w:r w:rsidRPr="00DA4FFF">
        <w:t xml:space="preserve">Para análise e discussão dos dados, foram utilizados os softwares </w:t>
      </w:r>
      <w:r w:rsidRPr="00DA4FFF">
        <w:rPr>
          <w:i/>
        </w:rPr>
        <w:t>IBM SPSS Statistics</w:t>
      </w:r>
      <w:r w:rsidRPr="00DA4FFF">
        <w:t xml:space="preserve"> 21.0® e </w:t>
      </w:r>
      <w:r w:rsidRPr="00DA4FFF">
        <w:rPr>
          <w:i/>
          <w:iCs/>
        </w:rPr>
        <w:t>Microsoft Excel 2010</w:t>
      </w:r>
      <w:r w:rsidRPr="00DA4FFF">
        <w:t xml:space="preserve">® para a tabulação dos dados coletados, realização de análises por meio da estatística descritiva, frequência, média, porcentagem, elaboração de gráficos e </w:t>
      </w:r>
      <w:proofErr w:type="gramStart"/>
      <w:r w:rsidRPr="00DA4FFF">
        <w:t>tabelas</w:t>
      </w:r>
      <w:proofErr w:type="gramEnd"/>
      <w:r w:rsidRPr="00DA4FFF">
        <w:t xml:space="preserve"> com tabulação cruzada, e test </w:t>
      </w:r>
      <w:r w:rsidRPr="00DA4FFF">
        <w:rPr>
          <w:i/>
        </w:rPr>
        <w:t>t</w:t>
      </w:r>
      <w:r w:rsidRPr="00DA4FFF">
        <w:t xml:space="preserve"> </w:t>
      </w:r>
      <w:r w:rsidRPr="00DA4FFF">
        <w:rPr>
          <w:i/>
        </w:rPr>
        <w:t>Student</w:t>
      </w:r>
      <w:r w:rsidRPr="00DA4FFF">
        <w:t xml:space="preserve"> para amostras independentes (STEVENSON, 1981).</w:t>
      </w:r>
    </w:p>
    <w:p w:rsidR="00DA4FFF" w:rsidRPr="00DA4FFF" w:rsidRDefault="00DA4FFF" w:rsidP="00DA4FFF">
      <w:pPr>
        <w:autoSpaceDE w:val="0"/>
        <w:autoSpaceDN w:val="0"/>
        <w:adjustRightInd w:val="0"/>
        <w:spacing w:after="120"/>
        <w:jc w:val="both"/>
        <w:rPr>
          <w:shd w:val="clear" w:color="auto" w:fill="FFFFFF"/>
        </w:rPr>
      </w:pPr>
      <w:r w:rsidRPr="00DA4FFF">
        <w:t>O test </w:t>
      </w:r>
      <w:r w:rsidRPr="00DA4FFF">
        <w:rPr>
          <w:i/>
        </w:rPr>
        <w:t>t</w:t>
      </w:r>
      <w:r w:rsidRPr="00DA4FFF">
        <w:t> de </w:t>
      </w:r>
      <w:r w:rsidRPr="00DA4FFF">
        <w:rPr>
          <w:i/>
        </w:rPr>
        <w:t>Student</w:t>
      </w:r>
      <w:r w:rsidRPr="00DA4FFF">
        <w:t> é um teste de hipótese que usa conceitos estatísticos para rejeitar ou não uma hipótese nula. Foi utilizado buscando obter uma análise mais relevante, a fim de verificar se há diferença estatisticamente significava entre os escores obtidos de satisfação dos beneficiários do programa, sendo que para o nível de confiança de 95%, considera-se p&lt;0,05 (STEVENSON, 1981).</w:t>
      </w:r>
      <w:r w:rsidRPr="00DA4FFF">
        <w:rPr>
          <w:shd w:val="clear" w:color="auto" w:fill="FFFFFF"/>
        </w:rPr>
        <w:t> </w:t>
      </w:r>
    </w:p>
    <w:p w:rsidR="00DA4FFF" w:rsidRPr="00DA4FFF" w:rsidRDefault="00DA4FFF" w:rsidP="00DA4FFF">
      <w:pPr>
        <w:spacing w:after="120"/>
        <w:jc w:val="both"/>
      </w:pPr>
      <w:r w:rsidRPr="00DA4FFF">
        <w:t xml:space="preserve">Para analisar as informações adicionais prestadas pelos participantes, procedeu-se com a análise de conteúdo, em que a partir da leitura e análise dos dados, foi feita a categorização, onde as unidades de registro são agrupadas em categorias, definidas na literatura ou observadas no contexto do objeto de estudo (BARDIN, 1995). Buscou-se separar as variáveis da questão 23, em duas categorias: satisfação com o imóvel e satisfação com o entorno e acesso aos serviços públicos. </w:t>
      </w:r>
    </w:p>
    <w:p w:rsidR="00DA4FFF" w:rsidRPr="00DA4FFF" w:rsidRDefault="00DA4FFF" w:rsidP="0036721B">
      <w:pPr>
        <w:ind w:firstLine="708"/>
        <w:jc w:val="both"/>
      </w:pPr>
    </w:p>
    <w:p w:rsidR="00DA4FFF" w:rsidRPr="00DA4FFF" w:rsidRDefault="00DA4FFF" w:rsidP="00DA4FFF">
      <w:pPr>
        <w:pStyle w:val="Ttulo1"/>
        <w:spacing w:before="0" w:after="120"/>
        <w:rPr>
          <w:rFonts w:ascii="Times New Roman" w:hAnsi="Times New Roman" w:cs="Times New Roman"/>
          <w:color w:val="auto"/>
          <w:sz w:val="24"/>
          <w:szCs w:val="24"/>
        </w:rPr>
      </w:pPr>
      <w:bookmarkStart w:id="12" w:name="_Toc469305043"/>
      <w:bookmarkStart w:id="13" w:name="_Toc359075553"/>
      <w:bookmarkStart w:id="14" w:name="_Toc363513788"/>
      <w:bookmarkStart w:id="15" w:name="_Toc365469706"/>
      <w:r w:rsidRPr="00DA4FFF">
        <w:rPr>
          <w:rFonts w:ascii="Times New Roman" w:hAnsi="Times New Roman" w:cs="Times New Roman"/>
          <w:color w:val="auto"/>
          <w:sz w:val="24"/>
          <w:szCs w:val="24"/>
        </w:rPr>
        <w:t>4. A</w:t>
      </w:r>
      <w:r w:rsidR="0036721B" w:rsidRPr="00DA4FFF">
        <w:rPr>
          <w:rFonts w:ascii="Times New Roman" w:hAnsi="Times New Roman" w:cs="Times New Roman"/>
          <w:color w:val="auto"/>
          <w:sz w:val="24"/>
          <w:szCs w:val="24"/>
        </w:rPr>
        <w:t>presentação e análise dos resultados</w:t>
      </w:r>
      <w:bookmarkEnd w:id="12"/>
      <w:r w:rsidR="0036721B" w:rsidRPr="00DA4FFF">
        <w:rPr>
          <w:rFonts w:ascii="Times New Roman" w:hAnsi="Times New Roman" w:cs="Times New Roman"/>
          <w:color w:val="auto"/>
          <w:sz w:val="24"/>
          <w:szCs w:val="24"/>
        </w:rPr>
        <w:t xml:space="preserve"> </w:t>
      </w:r>
      <w:bookmarkEnd w:id="13"/>
      <w:bookmarkEnd w:id="14"/>
      <w:bookmarkEnd w:id="15"/>
    </w:p>
    <w:p w:rsidR="00DA4FFF" w:rsidRPr="00DA4FFF" w:rsidRDefault="00DA4FFF" w:rsidP="00DA4FFF">
      <w:pPr>
        <w:spacing w:after="120"/>
        <w:jc w:val="both"/>
      </w:pPr>
      <w:bookmarkStart w:id="16" w:name="_Toc352680291"/>
      <w:bookmarkStart w:id="17" w:name="_Toc363513789"/>
      <w:bookmarkStart w:id="18" w:name="_Toc365469707"/>
      <w:bookmarkStart w:id="19" w:name="_Toc469305044"/>
      <w:r w:rsidRPr="00DA4FFF">
        <w:t xml:space="preserve">Nesta seção, serão apresentados os resultados obtidos, através dos questionários aplicados aos beneficiários do PMCMV em São </w:t>
      </w:r>
      <w:proofErr w:type="gramStart"/>
      <w:r w:rsidRPr="00DA4FFF">
        <w:t>Gotardo-MG</w:t>
      </w:r>
      <w:proofErr w:type="gramEnd"/>
      <w:r w:rsidRPr="00DA4FFF">
        <w:t>.</w:t>
      </w:r>
    </w:p>
    <w:p w:rsidR="00DA4FFF" w:rsidRPr="00DA4FFF" w:rsidRDefault="00DA4FFF" w:rsidP="0036721B">
      <w:pPr>
        <w:pStyle w:val="Ttulo2"/>
        <w:spacing w:after="0"/>
        <w:rPr>
          <w:szCs w:val="24"/>
        </w:rPr>
      </w:pPr>
    </w:p>
    <w:p w:rsidR="00DA4FFF" w:rsidRPr="00DA4FFF" w:rsidRDefault="00DA4FFF" w:rsidP="00DA4FFF">
      <w:pPr>
        <w:pStyle w:val="Ttulo2"/>
        <w:rPr>
          <w:szCs w:val="24"/>
        </w:rPr>
      </w:pPr>
      <w:r w:rsidRPr="00DA4FFF">
        <w:rPr>
          <w:szCs w:val="24"/>
        </w:rPr>
        <w:t>4.1 Perfil dos Respondentes</w:t>
      </w:r>
      <w:bookmarkEnd w:id="16"/>
      <w:bookmarkEnd w:id="17"/>
      <w:bookmarkEnd w:id="18"/>
      <w:bookmarkEnd w:id="19"/>
    </w:p>
    <w:p w:rsidR="003F0D24" w:rsidRDefault="003F0D24" w:rsidP="003F0D24">
      <w:pPr>
        <w:spacing w:after="120"/>
        <w:jc w:val="both"/>
      </w:pPr>
      <w:bookmarkStart w:id="20" w:name="_Toc467499905"/>
      <w:r w:rsidRPr="00BC322A">
        <w:t xml:space="preserve">Dentre as 230 pessoas que participaram da pesquisa, 63,04% são do sexo feminino, a maioria é casada ou tem união estável, 73,48%, com média de idade de 35 anos e escolaridade predominante, ensino médio completo. A </w:t>
      </w:r>
      <w:r>
        <w:t>T</w:t>
      </w:r>
      <w:r w:rsidRPr="00BC322A">
        <w:t xml:space="preserve">abela 3 apresenta outras informações referente </w:t>
      </w:r>
      <w:proofErr w:type="gramStart"/>
      <w:r w:rsidRPr="00BC322A">
        <w:t>a</w:t>
      </w:r>
      <w:proofErr w:type="gramEnd"/>
      <w:r w:rsidRPr="00BC322A">
        <w:t xml:space="preserve"> amostra. </w:t>
      </w:r>
    </w:p>
    <w:p w:rsidR="00182117" w:rsidRPr="00BC322A" w:rsidRDefault="00182117" w:rsidP="003F0D24">
      <w:pPr>
        <w:spacing w:after="120"/>
        <w:jc w:val="both"/>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05"/>
        <w:gridCol w:w="2755"/>
        <w:gridCol w:w="833"/>
      </w:tblGrid>
      <w:tr w:rsidR="00DA4FFF" w:rsidRPr="00DA4FFF" w:rsidTr="00DA4FFF">
        <w:trPr>
          <w:jc w:val="center"/>
        </w:trPr>
        <w:tc>
          <w:tcPr>
            <w:tcW w:w="0" w:type="auto"/>
            <w:vMerge w:val="restart"/>
            <w:vAlign w:val="center"/>
          </w:tcPr>
          <w:p w:rsidR="00DA4FFF" w:rsidRPr="00DA4FFF" w:rsidRDefault="00182117" w:rsidP="00DA4FFF">
            <w:pPr>
              <w:jc w:val="center"/>
              <w:rPr>
                <w:sz w:val="20"/>
                <w:szCs w:val="20"/>
              </w:rPr>
            </w:pPr>
            <w:r>
              <w:rPr>
                <w:bCs/>
              </w:rPr>
              <w:br w:type="page"/>
            </w:r>
            <w:r w:rsidR="00DA4FFF" w:rsidRPr="00DA4FFF">
              <w:rPr>
                <w:bCs/>
                <w:sz w:val="20"/>
                <w:szCs w:val="20"/>
              </w:rPr>
              <w:t xml:space="preserve">            </w:t>
            </w:r>
            <w:bookmarkEnd w:id="20"/>
            <w:r w:rsidR="00DA4FFF" w:rsidRPr="00DA4FFF">
              <w:rPr>
                <w:sz w:val="20"/>
                <w:szCs w:val="20"/>
              </w:rPr>
              <w:t>Renda atual do Grupo Familiar</w:t>
            </w:r>
          </w:p>
        </w:tc>
        <w:tc>
          <w:tcPr>
            <w:tcW w:w="0" w:type="auto"/>
            <w:vAlign w:val="bottom"/>
          </w:tcPr>
          <w:p w:rsidR="00DA4FFF" w:rsidRPr="00DA4FFF" w:rsidRDefault="00DA4FFF" w:rsidP="00DA4FFF">
            <w:pPr>
              <w:rPr>
                <w:sz w:val="20"/>
                <w:szCs w:val="20"/>
              </w:rPr>
            </w:pPr>
            <w:r w:rsidRPr="00DA4FFF">
              <w:rPr>
                <w:sz w:val="20"/>
                <w:szCs w:val="20"/>
              </w:rPr>
              <w:t>Até R$1.600,00</w:t>
            </w:r>
          </w:p>
        </w:tc>
        <w:tc>
          <w:tcPr>
            <w:tcW w:w="0" w:type="auto"/>
            <w:vAlign w:val="bottom"/>
          </w:tcPr>
          <w:p w:rsidR="00DA4FFF" w:rsidRPr="00DA4FFF" w:rsidRDefault="00DA4FFF" w:rsidP="00DA4FFF">
            <w:pPr>
              <w:jc w:val="center"/>
              <w:rPr>
                <w:sz w:val="20"/>
                <w:szCs w:val="20"/>
              </w:rPr>
            </w:pPr>
            <w:r w:rsidRPr="00DA4FFF">
              <w:rPr>
                <w:sz w:val="20"/>
                <w:szCs w:val="20"/>
              </w:rPr>
              <w:t>32,20%</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Entre R$1.600,00 e R$3.275,00</w:t>
            </w:r>
          </w:p>
        </w:tc>
        <w:tc>
          <w:tcPr>
            <w:tcW w:w="0" w:type="auto"/>
            <w:vAlign w:val="bottom"/>
          </w:tcPr>
          <w:p w:rsidR="00DA4FFF" w:rsidRPr="00DA4FFF" w:rsidRDefault="00DA4FFF" w:rsidP="00DA4FFF">
            <w:pPr>
              <w:jc w:val="center"/>
              <w:rPr>
                <w:sz w:val="20"/>
                <w:szCs w:val="20"/>
              </w:rPr>
            </w:pPr>
            <w:r w:rsidRPr="00DA4FFF">
              <w:rPr>
                <w:sz w:val="20"/>
                <w:szCs w:val="20"/>
              </w:rPr>
              <w:t>43,90%</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Entre R$3.275,00 e R$5.400,00</w:t>
            </w:r>
          </w:p>
        </w:tc>
        <w:tc>
          <w:tcPr>
            <w:tcW w:w="0" w:type="auto"/>
            <w:vAlign w:val="bottom"/>
          </w:tcPr>
          <w:p w:rsidR="00DA4FFF" w:rsidRPr="00DA4FFF" w:rsidRDefault="00DA4FFF" w:rsidP="00DA4FFF">
            <w:pPr>
              <w:jc w:val="center"/>
              <w:rPr>
                <w:sz w:val="20"/>
                <w:szCs w:val="20"/>
              </w:rPr>
            </w:pPr>
            <w:r w:rsidRPr="00DA4FFF">
              <w:rPr>
                <w:sz w:val="20"/>
                <w:szCs w:val="20"/>
              </w:rPr>
              <w:t>17,40%</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Acima de R$5.400,00</w:t>
            </w:r>
          </w:p>
        </w:tc>
        <w:tc>
          <w:tcPr>
            <w:tcW w:w="0" w:type="auto"/>
            <w:vAlign w:val="bottom"/>
          </w:tcPr>
          <w:p w:rsidR="00DA4FFF" w:rsidRPr="00DA4FFF" w:rsidRDefault="00DA4FFF" w:rsidP="00DA4FFF">
            <w:pPr>
              <w:jc w:val="center"/>
              <w:rPr>
                <w:sz w:val="20"/>
                <w:szCs w:val="20"/>
              </w:rPr>
            </w:pPr>
            <w:r w:rsidRPr="00DA4FFF">
              <w:rPr>
                <w:sz w:val="20"/>
                <w:szCs w:val="20"/>
              </w:rPr>
              <w:t>6,50%</w:t>
            </w:r>
          </w:p>
        </w:tc>
      </w:tr>
      <w:tr w:rsidR="00DA4FFF" w:rsidRPr="00DA4FFF" w:rsidTr="00DA4FFF">
        <w:trPr>
          <w:jc w:val="center"/>
        </w:trPr>
        <w:tc>
          <w:tcPr>
            <w:tcW w:w="0" w:type="auto"/>
            <w:vMerge w:val="restart"/>
            <w:vAlign w:val="center"/>
          </w:tcPr>
          <w:p w:rsidR="00DA4FFF" w:rsidRPr="00DA4FFF" w:rsidRDefault="00DA4FFF" w:rsidP="00DA4FFF">
            <w:pPr>
              <w:jc w:val="center"/>
              <w:rPr>
                <w:sz w:val="20"/>
                <w:szCs w:val="20"/>
              </w:rPr>
            </w:pPr>
            <w:r w:rsidRPr="00DA4FFF">
              <w:rPr>
                <w:sz w:val="20"/>
                <w:szCs w:val="20"/>
              </w:rPr>
              <w:t>Escolaridade</w:t>
            </w:r>
          </w:p>
        </w:tc>
        <w:tc>
          <w:tcPr>
            <w:tcW w:w="0" w:type="auto"/>
            <w:vAlign w:val="bottom"/>
          </w:tcPr>
          <w:p w:rsidR="00DA4FFF" w:rsidRPr="00DA4FFF" w:rsidRDefault="00DA4FFF" w:rsidP="00DA4FFF">
            <w:pPr>
              <w:rPr>
                <w:sz w:val="20"/>
                <w:szCs w:val="20"/>
              </w:rPr>
            </w:pPr>
            <w:r w:rsidRPr="00DA4FFF">
              <w:rPr>
                <w:sz w:val="20"/>
                <w:szCs w:val="20"/>
              </w:rPr>
              <w:t xml:space="preserve">Até 4º ano primário </w:t>
            </w:r>
          </w:p>
        </w:tc>
        <w:tc>
          <w:tcPr>
            <w:tcW w:w="0" w:type="auto"/>
            <w:vAlign w:val="bottom"/>
          </w:tcPr>
          <w:p w:rsidR="00DA4FFF" w:rsidRPr="00DA4FFF" w:rsidRDefault="00DA4FFF" w:rsidP="00DA4FFF">
            <w:pPr>
              <w:jc w:val="right"/>
              <w:rPr>
                <w:sz w:val="20"/>
                <w:szCs w:val="20"/>
              </w:rPr>
            </w:pPr>
            <w:r w:rsidRPr="00DA4FFF">
              <w:rPr>
                <w:sz w:val="20"/>
                <w:szCs w:val="20"/>
              </w:rPr>
              <w:t>15,22%</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Ens. Fundamental Incompleto</w:t>
            </w:r>
          </w:p>
        </w:tc>
        <w:tc>
          <w:tcPr>
            <w:tcW w:w="0" w:type="auto"/>
            <w:vAlign w:val="bottom"/>
          </w:tcPr>
          <w:p w:rsidR="00DA4FFF" w:rsidRPr="00DA4FFF" w:rsidRDefault="00DA4FFF" w:rsidP="00DA4FFF">
            <w:pPr>
              <w:jc w:val="right"/>
              <w:rPr>
                <w:sz w:val="20"/>
                <w:szCs w:val="20"/>
              </w:rPr>
            </w:pPr>
            <w:r w:rsidRPr="00DA4FFF">
              <w:rPr>
                <w:sz w:val="20"/>
                <w:szCs w:val="20"/>
              </w:rPr>
              <w:t>16,09%</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Ens. Fundamental Completo</w:t>
            </w:r>
          </w:p>
        </w:tc>
        <w:tc>
          <w:tcPr>
            <w:tcW w:w="0" w:type="auto"/>
            <w:vAlign w:val="bottom"/>
          </w:tcPr>
          <w:p w:rsidR="00DA4FFF" w:rsidRPr="00DA4FFF" w:rsidRDefault="00DA4FFF" w:rsidP="00DA4FFF">
            <w:pPr>
              <w:jc w:val="right"/>
              <w:rPr>
                <w:sz w:val="20"/>
                <w:szCs w:val="20"/>
              </w:rPr>
            </w:pPr>
            <w:r w:rsidRPr="00DA4FFF">
              <w:rPr>
                <w:sz w:val="20"/>
                <w:szCs w:val="20"/>
              </w:rPr>
              <w:t>14,35%</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Ensino Médio Incompleto</w:t>
            </w:r>
          </w:p>
        </w:tc>
        <w:tc>
          <w:tcPr>
            <w:tcW w:w="0" w:type="auto"/>
            <w:vAlign w:val="bottom"/>
          </w:tcPr>
          <w:p w:rsidR="00DA4FFF" w:rsidRPr="00DA4FFF" w:rsidRDefault="00DA4FFF" w:rsidP="00DA4FFF">
            <w:pPr>
              <w:jc w:val="right"/>
              <w:rPr>
                <w:sz w:val="20"/>
                <w:szCs w:val="20"/>
              </w:rPr>
            </w:pPr>
            <w:r w:rsidRPr="00DA4FFF">
              <w:rPr>
                <w:sz w:val="20"/>
                <w:szCs w:val="20"/>
              </w:rPr>
              <w:t>10%</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 xml:space="preserve">Ensino Médio Completo </w:t>
            </w:r>
          </w:p>
        </w:tc>
        <w:tc>
          <w:tcPr>
            <w:tcW w:w="0" w:type="auto"/>
            <w:vAlign w:val="bottom"/>
          </w:tcPr>
          <w:p w:rsidR="00DA4FFF" w:rsidRPr="00DA4FFF" w:rsidRDefault="00DA4FFF" w:rsidP="00DA4FFF">
            <w:pPr>
              <w:jc w:val="right"/>
              <w:rPr>
                <w:sz w:val="20"/>
                <w:szCs w:val="20"/>
              </w:rPr>
            </w:pPr>
            <w:r w:rsidRPr="00DA4FFF">
              <w:rPr>
                <w:sz w:val="20"/>
                <w:szCs w:val="20"/>
              </w:rPr>
              <w:t>27,83%</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Superior Incompleto</w:t>
            </w:r>
          </w:p>
        </w:tc>
        <w:tc>
          <w:tcPr>
            <w:tcW w:w="0" w:type="auto"/>
            <w:vAlign w:val="bottom"/>
          </w:tcPr>
          <w:p w:rsidR="00DA4FFF" w:rsidRPr="00DA4FFF" w:rsidRDefault="00DA4FFF" w:rsidP="00DA4FFF">
            <w:pPr>
              <w:jc w:val="right"/>
              <w:rPr>
                <w:sz w:val="20"/>
                <w:szCs w:val="20"/>
              </w:rPr>
            </w:pPr>
            <w:r w:rsidRPr="00DA4FFF">
              <w:rPr>
                <w:sz w:val="20"/>
                <w:szCs w:val="20"/>
              </w:rPr>
              <w:t>5,65%</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Superior Completo</w:t>
            </w:r>
          </w:p>
        </w:tc>
        <w:tc>
          <w:tcPr>
            <w:tcW w:w="0" w:type="auto"/>
            <w:vAlign w:val="bottom"/>
          </w:tcPr>
          <w:p w:rsidR="00DA4FFF" w:rsidRPr="00DA4FFF" w:rsidRDefault="00DA4FFF" w:rsidP="00DA4FFF">
            <w:pPr>
              <w:jc w:val="right"/>
              <w:rPr>
                <w:sz w:val="20"/>
                <w:szCs w:val="20"/>
              </w:rPr>
            </w:pPr>
            <w:r w:rsidRPr="00DA4FFF">
              <w:rPr>
                <w:sz w:val="20"/>
                <w:szCs w:val="20"/>
              </w:rPr>
              <w:t>10%</w:t>
            </w:r>
          </w:p>
        </w:tc>
      </w:tr>
      <w:tr w:rsidR="00DA4FFF" w:rsidRPr="00DA4FFF" w:rsidTr="00DA4FFF">
        <w:trPr>
          <w:jc w:val="center"/>
        </w:trPr>
        <w:tc>
          <w:tcPr>
            <w:tcW w:w="0" w:type="auto"/>
            <w:vMerge/>
            <w:vAlign w:val="center"/>
          </w:tcPr>
          <w:p w:rsidR="00DA4FFF" w:rsidRPr="00DA4FFF" w:rsidRDefault="00DA4FFF" w:rsidP="00DA4FFF">
            <w:pPr>
              <w:jc w:val="center"/>
              <w:rPr>
                <w:sz w:val="20"/>
                <w:szCs w:val="20"/>
              </w:rPr>
            </w:pPr>
          </w:p>
        </w:tc>
        <w:tc>
          <w:tcPr>
            <w:tcW w:w="0" w:type="auto"/>
            <w:vAlign w:val="bottom"/>
          </w:tcPr>
          <w:p w:rsidR="00DA4FFF" w:rsidRPr="00DA4FFF" w:rsidRDefault="00DA4FFF" w:rsidP="00DA4FFF">
            <w:pPr>
              <w:rPr>
                <w:sz w:val="20"/>
                <w:szCs w:val="20"/>
              </w:rPr>
            </w:pPr>
            <w:r w:rsidRPr="00DA4FFF">
              <w:rPr>
                <w:sz w:val="20"/>
                <w:szCs w:val="20"/>
              </w:rPr>
              <w:t>Pós Graduado</w:t>
            </w:r>
          </w:p>
        </w:tc>
        <w:tc>
          <w:tcPr>
            <w:tcW w:w="0" w:type="auto"/>
            <w:vAlign w:val="bottom"/>
          </w:tcPr>
          <w:p w:rsidR="00DA4FFF" w:rsidRPr="00DA4FFF" w:rsidRDefault="00DA4FFF" w:rsidP="00DA4FFF">
            <w:pPr>
              <w:jc w:val="right"/>
              <w:rPr>
                <w:sz w:val="20"/>
                <w:szCs w:val="20"/>
              </w:rPr>
            </w:pPr>
            <w:r w:rsidRPr="00DA4FFF">
              <w:rPr>
                <w:sz w:val="20"/>
                <w:szCs w:val="20"/>
              </w:rPr>
              <w:t>0,87%</w:t>
            </w:r>
          </w:p>
        </w:tc>
      </w:tr>
      <w:tr w:rsidR="00DA4FFF" w:rsidRPr="00DA4FFF" w:rsidTr="00DA4FFF">
        <w:trPr>
          <w:jc w:val="center"/>
        </w:trPr>
        <w:tc>
          <w:tcPr>
            <w:tcW w:w="0" w:type="auto"/>
            <w:vMerge w:val="restart"/>
            <w:vAlign w:val="center"/>
          </w:tcPr>
          <w:p w:rsidR="00DA4FFF" w:rsidRPr="00DA4FFF" w:rsidRDefault="00DA4FFF" w:rsidP="00DA4FFF">
            <w:pPr>
              <w:jc w:val="center"/>
              <w:rPr>
                <w:sz w:val="20"/>
                <w:szCs w:val="20"/>
              </w:rPr>
            </w:pPr>
            <w:r w:rsidRPr="00DA4FFF">
              <w:rPr>
                <w:sz w:val="20"/>
                <w:szCs w:val="20"/>
              </w:rPr>
              <w:t>Bairros</w:t>
            </w:r>
          </w:p>
        </w:tc>
        <w:tc>
          <w:tcPr>
            <w:tcW w:w="0" w:type="auto"/>
            <w:vAlign w:val="bottom"/>
          </w:tcPr>
          <w:p w:rsidR="00DA4FFF" w:rsidRPr="00DA4FFF" w:rsidRDefault="00DA4FFF" w:rsidP="00DA4FFF">
            <w:pPr>
              <w:rPr>
                <w:sz w:val="20"/>
                <w:szCs w:val="20"/>
              </w:rPr>
            </w:pPr>
            <w:proofErr w:type="gramStart"/>
            <w:r w:rsidRPr="00DA4FFF">
              <w:rPr>
                <w:sz w:val="20"/>
                <w:szCs w:val="20"/>
              </w:rPr>
              <w:t>Alto Bela</w:t>
            </w:r>
            <w:proofErr w:type="gramEnd"/>
            <w:r w:rsidRPr="00DA4FFF">
              <w:rPr>
                <w:sz w:val="20"/>
                <w:szCs w:val="20"/>
              </w:rPr>
              <w:t xml:space="preserve"> Vista</w:t>
            </w:r>
          </w:p>
        </w:tc>
        <w:tc>
          <w:tcPr>
            <w:tcW w:w="0" w:type="auto"/>
            <w:vAlign w:val="bottom"/>
          </w:tcPr>
          <w:p w:rsidR="00DA4FFF" w:rsidRPr="00DA4FFF" w:rsidRDefault="00DA4FFF" w:rsidP="00DA4FFF">
            <w:pPr>
              <w:jc w:val="right"/>
              <w:rPr>
                <w:sz w:val="20"/>
                <w:szCs w:val="20"/>
              </w:rPr>
            </w:pPr>
            <w:r w:rsidRPr="00DA4FFF">
              <w:rPr>
                <w:sz w:val="20"/>
                <w:szCs w:val="20"/>
              </w:rPr>
              <w:t>3,91%</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Boa Esperança</w:t>
            </w:r>
          </w:p>
        </w:tc>
        <w:tc>
          <w:tcPr>
            <w:tcW w:w="0" w:type="auto"/>
            <w:vAlign w:val="bottom"/>
          </w:tcPr>
          <w:p w:rsidR="00DA4FFF" w:rsidRPr="00DA4FFF" w:rsidRDefault="00DA4FFF" w:rsidP="00DA4FFF">
            <w:pPr>
              <w:jc w:val="right"/>
              <w:rPr>
                <w:sz w:val="20"/>
                <w:szCs w:val="20"/>
              </w:rPr>
            </w:pPr>
            <w:r w:rsidRPr="00DA4FFF">
              <w:rPr>
                <w:sz w:val="20"/>
                <w:szCs w:val="20"/>
              </w:rPr>
              <w:t>13,91%</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Boa Vista</w:t>
            </w:r>
          </w:p>
        </w:tc>
        <w:tc>
          <w:tcPr>
            <w:tcW w:w="0" w:type="auto"/>
            <w:vAlign w:val="bottom"/>
          </w:tcPr>
          <w:p w:rsidR="00DA4FFF" w:rsidRPr="00DA4FFF" w:rsidRDefault="00DA4FFF" w:rsidP="00DA4FFF">
            <w:pPr>
              <w:jc w:val="right"/>
              <w:rPr>
                <w:sz w:val="20"/>
                <w:szCs w:val="20"/>
              </w:rPr>
            </w:pPr>
            <w:r w:rsidRPr="00DA4FFF">
              <w:rPr>
                <w:sz w:val="20"/>
                <w:szCs w:val="20"/>
              </w:rPr>
              <w:t>0,43%</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 xml:space="preserve">Centro </w:t>
            </w:r>
          </w:p>
        </w:tc>
        <w:tc>
          <w:tcPr>
            <w:tcW w:w="0" w:type="auto"/>
            <w:vAlign w:val="bottom"/>
          </w:tcPr>
          <w:p w:rsidR="00DA4FFF" w:rsidRPr="00DA4FFF" w:rsidRDefault="00DA4FFF" w:rsidP="00DA4FFF">
            <w:pPr>
              <w:jc w:val="right"/>
              <w:rPr>
                <w:sz w:val="20"/>
                <w:szCs w:val="20"/>
              </w:rPr>
            </w:pPr>
            <w:r w:rsidRPr="00DA4FFF">
              <w:rPr>
                <w:sz w:val="20"/>
                <w:szCs w:val="20"/>
              </w:rPr>
              <w:t>0,87%</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Jardim Sol Nascente</w:t>
            </w:r>
          </w:p>
        </w:tc>
        <w:tc>
          <w:tcPr>
            <w:tcW w:w="0" w:type="auto"/>
            <w:vAlign w:val="bottom"/>
          </w:tcPr>
          <w:p w:rsidR="00DA4FFF" w:rsidRPr="00DA4FFF" w:rsidRDefault="00DA4FFF" w:rsidP="00DA4FFF">
            <w:pPr>
              <w:jc w:val="right"/>
              <w:rPr>
                <w:sz w:val="20"/>
                <w:szCs w:val="20"/>
              </w:rPr>
            </w:pPr>
            <w:r w:rsidRPr="00DA4FFF">
              <w:rPr>
                <w:sz w:val="20"/>
                <w:szCs w:val="20"/>
              </w:rPr>
              <w:t>1,30%</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Geraldo Marques</w:t>
            </w:r>
          </w:p>
        </w:tc>
        <w:tc>
          <w:tcPr>
            <w:tcW w:w="0" w:type="auto"/>
            <w:vAlign w:val="bottom"/>
          </w:tcPr>
          <w:p w:rsidR="00DA4FFF" w:rsidRPr="00DA4FFF" w:rsidRDefault="00DA4FFF" w:rsidP="00DA4FFF">
            <w:pPr>
              <w:jc w:val="right"/>
              <w:rPr>
                <w:sz w:val="20"/>
                <w:szCs w:val="20"/>
              </w:rPr>
            </w:pPr>
            <w:r w:rsidRPr="00DA4FFF">
              <w:rPr>
                <w:sz w:val="20"/>
                <w:szCs w:val="20"/>
              </w:rPr>
              <w:t>6,52%</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Residencial Liberdade</w:t>
            </w:r>
          </w:p>
        </w:tc>
        <w:tc>
          <w:tcPr>
            <w:tcW w:w="0" w:type="auto"/>
            <w:vAlign w:val="bottom"/>
          </w:tcPr>
          <w:p w:rsidR="00DA4FFF" w:rsidRPr="00DA4FFF" w:rsidRDefault="00DA4FFF" w:rsidP="00DA4FFF">
            <w:pPr>
              <w:jc w:val="right"/>
              <w:rPr>
                <w:sz w:val="20"/>
                <w:szCs w:val="20"/>
              </w:rPr>
            </w:pPr>
            <w:r w:rsidRPr="00DA4FFF">
              <w:rPr>
                <w:sz w:val="20"/>
                <w:szCs w:val="20"/>
              </w:rPr>
              <w:t>23,04%</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416DB4" w:rsidP="00DA4FFF">
            <w:pPr>
              <w:rPr>
                <w:sz w:val="20"/>
                <w:szCs w:val="20"/>
              </w:rPr>
            </w:pPr>
            <w:r>
              <w:rPr>
                <w:noProof/>
                <w:sz w:val="20"/>
                <w:szCs w:val="20"/>
                <w:lang w:val="pt-BR"/>
              </w:rPr>
              <mc:AlternateContent>
                <mc:Choice Requires="wps">
                  <w:drawing>
                    <wp:anchor distT="0" distB="0" distL="114300" distR="114300" simplePos="0" relativeHeight="251659264" behindDoc="0" locked="0" layoutInCell="1" allowOverlap="1" wp14:anchorId="78F53D2B" wp14:editId="733883D1">
                      <wp:simplePos x="0" y="0"/>
                      <wp:positionH relativeFrom="column">
                        <wp:posOffset>-1516380</wp:posOffset>
                      </wp:positionH>
                      <wp:positionV relativeFrom="paragraph">
                        <wp:posOffset>116205</wp:posOffset>
                      </wp:positionV>
                      <wp:extent cx="895350" cy="247650"/>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8953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DB4" w:rsidRPr="00416DB4" w:rsidRDefault="00416DB4" w:rsidP="00416DB4">
                                  <w:pPr>
                                    <w:jc w:val="center"/>
                                    <w:rPr>
                                      <w:sz w:val="20"/>
                                      <w:szCs w:val="20"/>
                                      <w:lang w:val="pt-BR"/>
                                    </w:rPr>
                                  </w:pPr>
                                  <w:r w:rsidRPr="00416DB4">
                                    <w:rPr>
                                      <w:sz w:val="20"/>
                                      <w:szCs w:val="20"/>
                                      <w:lang w:val="pt-BR"/>
                                    </w:rPr>
                                    <w:t>Bairros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119.4pt;margin-top:9.15pt;width:70.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" fillcolor="white [3201]" stroked="f" strokeweight=".5pt">
                      <v:textbox>
                        <w:txbxContent>
                          <w:p w:rsidR="00416DB4" w:rsidRPr="00416DB4" w:rsidRDefault="00416DB4" w:rsidP="00416DB4">
                            <w:pPr>
                              <w:jc w:val="center"/>
                              <w:rPr>
                                <w:sz w:val="20"/>
                                <w:szCs w:val="20"/>
                                <w:lang w:val="pt-BR"/>
                              </w:rPr>
                            </w:pPr>
                            <w:r w:rsidRPr="00416DB4">
                              <w:rPr>
                                <w:sz w:val="20"/>
                                <w:szCs w:val="20"/>
                                <w:lang w:val="pt-BR"/>
                              </w:rPr>
                              <w:t>Bairros</w:t>
                            </w:r>
                          </w:p>
                        </w:txbxContent>
                      </v:textbox>
                    </v:shape>
                  </w:pict>
                </mc:Fallback>
              </mc:AlternateContent>
            </w:r>
            <w:r w:rsidR="00DA4FFF" w:rsidRPr="00DA4FFF">
              <w:rPr>
                <w:sz w:val="20"/>
                <w:szCs w:val="20"/>
              </w:rPr>
              <w:t>Nossa Senhora Aparecida</w:t>
            </w:r>
          </w:p>
        </w:tc>
        <w:tc>
          <w:tcPr>
            <w:tcW w:w="0" w:type="auto"/>
            <w:vAlign w:val="bottom"/>
          </w:tcPr>
          <w:p w:rsidR="00DA4FFF" w:rsidRPr="00DA4FFF" w:rsidRDefault="00DA4FFF" w:rsidP="00DA4FFF">
            <w:pPr>
              <w:jc w:val="right"/>
              <w:rPr>
                <w:sz w:val="20"/>
                <w:szCs w:val="20"/>
              </w:rPr>
            </w:pPr>
            <w:r w:rsidRPr="00DA4FFF">
              <w:rPr>
                <w:sz w:val="20"/>
                <w:szCs w:val="20"/>
              </w:rPr>
              <w:t>0,43%</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Santa Terezinha</w:t>
            </w:r>
          </w:p>
        </w:tc>
        <w:tc>
          <w:tcPr>
            <w:tcW w:w="0" w:type="auto"/>
            <w:vAlign w:val="bottom"/>
          </w:tcPr>
          <w:p w:rsidR="00DA4FFF" w:rsidRPr="00DA4FFF" w:rsidRDefault="00DA4FFF" w:rsidP="00DA4FFF">
            <w:pPr>
              <w:jc w:val="right"/>
              <w:rPr>
                <w:sz w:val="20"/>
                <w:szCs w:val="20"/>
              </w:rPr>
            </w:pPr>
            <w:r w:rsidRPr="00DA4FFF">
              <w:rPr>
                <w:sz w:val="20"/>
                <w:szCs w:val="20"/>
              </w:rPr>
              <w:t>1,30%</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São Lucas</w:t>
            </w:r>
          </w:p>
        </w:tc>
        <w:tc>
          <w:tcPr>
            <w:tcW w:w="0" w:type="auto"/>
            <w:vAlign w:val="bottom"/>
          </w:tcPr>
          <w:p w:rsidR="00DA4FFF" w:rsidRPr="00DA4FFF" w:rsidRDefault="00DA4FFF" w:rsidP="00DA4FFF">
            <w:pPr>
              <w:jc w:val="right"/>
              <w:rPr>
                <w:sz w:val="20"/>
                <w:szCs w:val="20"/>
              </w:rPr>
            </w:pPr>
            <w:r w:rsidRPr="00DA4FFF">
              <w:rPr>
                <w:sz w:val="20"/>
                <w:szCs w:val="20"/>
              </w:rPr>
              <w:t>4,78%</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São Vicente</w:t>
            </w:r>
          </w:p>
        </w:tc>
        <w:tc>
          <w:tcPr>
            <w:tcW w:w="0" w:type="auto"/>
            <w:vAlign w:val="bottom"/>
          </w:tcPr>
          <w:p w:rsidR="00DA4FFF" w:rsidRPr="00DA4FFF" w:rsidRDefault="00DA4FFF" w:rsidP="00DA4FFF">
            <w:pPr>
              <w:jc w:val="right"/>
              <w:rPr>
                <w:sz w:val="20"/>
                <w:szCs w:val="20"/>
              </w:rPr>
            </w:pPr>
            <w:r w:rsidRPr="00DA4FFF">
              <w:rPr>
                <w:sz w:val="20"/>
                <w:szCs w:val="20"/>
              </w:rPr>
              <w:t>0,87%</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Serra Negra</w:t>
            </w:r>
          </w:p>
        </w:tc>
        <w:tc>
          <w:tcPr>
            <w:tcW w:w="0" w:type="auto"/>
            <w:vAlign w:val="bottom"/>
          </w:tcPr>
          <w:p w:rsidR="00DA4FFF" w:rsidRPr="00DA4FFF" w:rsidRDefault="00DA4FFF" w:rsidP="00DA4FFF">
            <w:pPr>
              <w:jc w:val="right"/>
              <w:rPr>
                <w:sz w:val="20"/>
                <w:szCs w:val="20"/>
              </w:rPr>
            </w:pPr>
            <w:r w:rsidRPr="00DA4FFF">
              <w:rPr>
                <w:sz w:val="20"/>
                <w:szCs w:val="20"/>
              </w:rPr>
              <w:t>2,61%</w:t>
            </w:r>
          </w:p>
        </w:tc>
      </w:tr>
      <w:tr w:rsidR="00DA4FFF" w:rsidRPr="00DA4FFF" w:rsidTr="00DA4FFF">
        <w:trPr>
          <w:jc w:val="center"/>
        </w:trPr>
        <w:tc>
          <w:tcPr>
            <w:tcW w:w="0" w:type="auto"/>
            <w:vMerge/>
          </w:tcPr>
          <w:p w:rsidR="00DA4FFF" w:rsidRPr="00DA4FFF" w:rsidRDefault="00DA4FFF" w:rsidP="00DA4FFF">
            <w:pPr>
              <w:rPr>
                <w:sz w:val="20"/>
                <w:szCs w:val="20"/>
              </w:rPr>
            </w:pPr>
          </w:p>
        </w:tc>
        <w:tc>
          <w:tcPr>
            <w:tcW w:w="0" w:type="auto"/>
            <w:vAlign w:val="bottom"/>
          </w:tcPr>
          <w:p w:rsidR="00DA4FFF" w:rsidRPr="00DA4FFF" w:rsidRDefault="00DA4FFF" w:rsidP="00DA4FFF">
            <w:pPr>
              <w:rPr>
                <w:sz w:val="20"/>
                <w:szCs w:val="20"/>
              </w:rPr>
            </w:pPr>
            <w:r w:rsidRPr="00DA4FFF">
              <w:rPr>
                <w:sz w:val="20"/>
                <w:szCs w:val="20"/>
              </w:rPr>
              <w:t>Tancredo Neves</w:t>
            </w:r>
          </w:p>
        </w:tc>
        <w:tc>
          <w:tcPr>
            <w:tcW w:w="0" w:type="auto"/>
            <w:vAlign w:val="bottom"/>
          </w:tcPr>
          <w:p w:rsidR="00DA4FFF" w:rsidRPr="00DA4FFF" w:rsidRDefault="00DA4FFF" w:rsidP="00DA4FFF">
            <w:pPr>
              <w:jc w:val="right"/>
              <w:rPr>
                <w:sz w:val="20"/>
                <w:szCs w:val="20"/>
              </w:rPr>
            </w:pPr>
            <w:r w:rsidRPr="00DA4FFF">
              <w:rPr>
                <w:sz w:val="20"/>
                <w:szCs w:val="20"/>
              </w:rPr>
              <w:t>2,17%</w:t>
            </w:r>
          </w:p>
        </w:tc>
      </w:tr>
      <w:tr w:rsidR="00DA4FFF" w:rsidRPr="00DA4FFF" w:rsidTr="00342C4E">
        <w:trPr>
          <w:jc w:val="center"/>
        </w:trPr>
        <w:tc>
          <w:tcPr>
            <w:tcW w:w="0" w:type="auto"/>
            <w:vMerge/>
            <w:tcBorders>
              <w:bottom w:val="single" w:sz="4" w:space="0" w:color="auto"/>
            </w:tcBorders>
          </w:tcPr>
          <w:p w:rsidR="00DA4FFF" w:rsidRPr="00DA4FFF" w:rsidRDefault="00DA4FFF" w:rsidP="00DA4FFF">
            <w:pPr>
              <w:rPr>
                <w:sz w:val="20"/>
                <w:szCs w:val="20"/>
              </w:rPr>
            </w:pPr>
          </w:p>
        </w:tc>
        <w:tc>
          <w:tcPr>
            <w:tcW w:w="0" w:type="auto"/>
            <w:tcBorders>
              <w:bottom w:val="single" w:sz="4" w:space="0" w:color="auto"/>
            </w:tcBorders>
            <w:vAlign w:val="bottom"/>
          </w:tcPr>
          <w:p w:rsidR="00DA4FFF" w:rsidRPr="00DA4FFF" w:rsidRDefault="00DA4FFF" w:rsidP="00DA4FFF">
            <w:pPr>
              <w:rPr>
                <w:sz w:val="20"/>
                <w:szCs w:val="20"/>
              </w:rPr>
            </w:pPr>
            <w:r w:rsidRPr="00DA4FFF">
              <w:rPr>
                <w:sz w:val="20"/>
                <w:szCs w:val="20"/>
              </w:rPr>
              <w:t>Saturnino Pereira</w:t>
            </w:r>
          </w:p>
        </w:tc>
        <w:tc>
          <w:tcPr>
            <w:tcW w:w="0" w:type="auto"/>
            <w:tcBorders>
              <w:bottom w:val="single" w:sz="4" w:space="0" w:color="auto"/>
            </w:tcBorders>
            <w:vAlign w:val="bottom"/>
          </w:tcPr>
          <w:p w:rsidR="00DA4FFF" w:rsidRPr="00DA4FFF" w:rsidRDefault="00DA4FFF" w:rsidP="00DA4FFF">
            <w:pPr>
              <w:jc w:val="right"/>
              <w:rPr>
                <w:sz w:val="20"/>
                <w:szCs w:val="20"/>
              </w:rPr>
            </w:pPr>
            <w:r w:rsidRPr="00DA4FFF">
              <w:rPr>
                <w:sz w:val="20"/>
                <w:szCs w:val="20"/>
              </w:rPr>
              <w:t>37,83%</w:t>
            </w:r>
          </w:p>
        </w:tc>
      </w:tr>
      <w:tr w:rsidR="00342C4E" w:rsidRPr="00DA4FFF" w:rsidTr="009817B1">
        <w:trPr>
          <w:jc w:val="center"/>
        </w:trPr>
        <w:tc>
          <w:tcPr>
            <w:tcW w:w="0" w:type="auto"/>
            <w:gridSpan w:val="3"/>
            <w:tcBorders>
              <w:bottom w:val="nil"/>
            </w:tcBorders>
          </w:tcPr>
          <w:p w:rsidR="00342C4E" w:rsidRPr="00342C4E" w:rsidRDefault="00342C4E" w:rsidP="00342C4E">
            <w:pPr>
              <w:rPr>
                <w:bCs/>
                <w:sz w:val="20"/>
                <w:szCs w:val="20"/>
              </w:rPr>
            </w:pPr>
            <w:r w:rsidRPr="00DA4FFF">
              <w:rPr>
                <w:bCs/>
                <w:sz w:val="20"/>
                <w:szCs w:val="20"/>
              </w:rPr>
              <w:t xml:space="preserve">Fonte: </w:t>
            </w:r>
            <w:r w:rsidRPr="00DA4FFF">
              <w:rPr>
                <w:sz w:val="20"/>
                <w:szCs w:val="20"/>
              </w:rPr>
              <w:t>Resultados da Pesquisa (2017)</w:t>
            </w:r>
          </w:p>
        </w:tc>
      </w:tr>
    </w:tbl>
    <w:p w:rsidR="00342C4E" w:rsidRDefault="00342C4E" w:rsidP="00342C4E">
      <w:pPr>
        <w:spacing w:before="120" w:after="120"/>
        <w:jc w:val="center"/>
        <w:rPr>
          <w:bCs/>
          <w:sz w:val="20"/>
          <w:szCs w:val="20"/>
        </w:rPr>
      </w:pPr>
      <w:r w:rsidRPr="00DA4FFF">
        <w:rPr>
          <w:bCs/>
          <w:sz w:val="20"/>
          <w:szCs w:val="20"/>
        </w:rPr>
        <w:t xml:space="preserve">Tabela </w:t>
      </w:r>
      <w:r w:rsidRPr="00DA4FFF">
        <w:rPr>
          <w:bCs/>
          <w:sz w:val="20"/>
          <w:szCs w:val="20"/>
        </w:rPr>
        <w:fldChar w:fldCharType="begin"/>
      </w:r>
      <w:r w:rsidRPr="00DA4FFF">
        <w:rPr>
          <w:bCs/>
          <w:sz w:val="20"/>
          <w:szCs w:val="20"/>
        </w:rPr>
        <w:instrText xml:space="preserve"> SEQ Tabela \* ARABIC </w:instrText>
      </w:r>
      <w:r w:rsidRPr="00DA4FFF">
        <w:rPr>
          <w:bCs/>
          <w:sz w:val="20"/>
          <w:szCs w:val="20"/>
        </w:rPr>
        <w:fldChar w:fldCharType="separate"/>
      </w:r>
      <w:r w:rsidRPr="00DA4FFF">
        <w:rPr>
          <w:bCs/>
          <w:noProof/>
          <w:sz w:val="20"/>
          <w:szCs w:val="20"/>
        </w:rPr>
        <w:t>3</w:t>
      </w:r>
      <w:r w:rsidRPr="00DA4FFF">
        <w:rPr>
          <w:bCs/>
          <w:sz w:val="20"/>
          <w:szCs w:val="20"/>
        </w:rPr>
        <w:fldChar w:fldCharType="end"/>
      </w:r>
      <w:r w:rsidRPr="00DA4FFF">
        <w:rPr>
          <w:bCs/>
          <w:sz w:val="20"/>
          <w:szCs w:val="20"/>
        </w:rPr>
        <w:t xml:space="preserve"> - Identificação do perfil dos respondentes</w:t>
      </w:r>
    </w:p>
    <w:p w:rsidR="00DA4FFF" w:rsidRPr="00DA4FFF" w:rsidRDefault="00DA4FFF" w:rsidP="00DA4FFF">
      <w:pPr>
        <w:rPr>
          <w:bCs/>
          <w:sz w:val="20"/>
          <w:szCs w:val="20"/>
        </w:rPr>
      </w:pPr>
    </w:p>
    <w:p w:rsidR="00DA4FFF" w:rsidRPr="00DA4FFF" w:rsidRDefault="00DA4FFF" w:rsidP="00DA4FFF">
      <w:pPr>
        <w:spacing w:after="120"/>
        <w:jc w:val="both"/>
        <w:rPr>
          <w:bCs/>
        </w:rPr>
      </w:pPr>
      <w:r w:rsidRPr="00DA4FFF">
        <w:rPr>
          <w:bCs/>
        </w:rPr>
        <w:t xml:space="preserve">Quanto à possibilidade de utilizar o saldo do FGTS na aquisição do imóvel, somente 35,65% (82) famílias utilizaram o saldo do fundo de garantia como entrada para redução do valor financiado. Na pesquisa foi possível evidenciar que, em média, cada domicílio tem 3,33 moradores, sendo que 51,95% destes possuem emprego formal, com rendimento mensal do grupo familiar entre R$1.600,00 e R$3.275,00. O rendimento de 32,3% das famílias encaixa na faixa </w:t>
      </w:r>
      <w:proofErr w:type="gramStart"/>
      <w:r w:rsidRPr="00DA4FFF">
        <w:rPr>
          <w:bCs/>
        </w:rPr>
        <w:t>1</w:t>
      </w:r>
      <w:proofErr w:type="gramEnd"/>
      <w:r w:rsidRPr="00DA4FFF">
        <w:rPr>
          <w:bCs/>
        </w:rPr>
        <w:t xml:space="preserve">, na qual os subsídios chegam a 96% </w:t>
      </w:r>
      <w:r w:rsidRPr="00DA4FFF">
        <w:t xml:space="preserve">(RUFINO </w:t>
      </w:r>
      <w:r w:rsidRPr="00DA4FFF">
        <w:rPr>
          <w:i/>
        </w:rPr>
        <w:t>et al.</w:t>
      </w:r>
      <w:r w:rsidRPr="00DA4FFF">
        <w:t>, 2015).</w:t>
      </w:r>
      <w:r w:rsidRPr="00DA4FFF">
        <w:rPr>
          <w:bCs/>
        </w:rPr>
        <w:t xml:space="preserve"> No entanto, não houve casas na faixa </w:t>
      </w:r>
      <w:proofErr w:type="gramStart"/>
      <w:r w:rsidRPr="00DA4FFF">
        <w:rPr>
          <w:bCs/>
        </w:rPr>
        <w:t>1</w:t>
      </w:r>
      <w:proofErr w:type="gramEnd"/>
      <w:r w:rsidRPr="00DA4FFF">
        <w:rPr>
          <w:bCs/>
        </w:rPr>
        <w:t xml:space="preserve"> do programa em São Gotardo (BRASIL, 2016b).</w:t>
      </w:r>
    </w:p>
    <w:p w:rsidR="00DA4FFF" w:rsidRPr="00DA4FFF" w:rsidRDefault="00DA4FFF" w:rsidP="00DA4FFF">
      <w:pPr>
        <w:spacing w:after="120"/>
        <w:jc w:val="both"/>
        <w:rPr>
          <w:bCs/>
        </w:rPr>
      </w:pPr>
      <w:r w:rsidRPr="00DA4FFF">
        <w:rPr>
          <w:bCs/>
        </w:rPr>
        <w:t xml:space="preserve">Pode-se associar o grau de empregabilidade à redução do número de famílias que dependem de benefício social do governo, visto que 137 (59,56%) famílias possuem crianças e somente 18,98% destas </w:t>
      </w:r>
      <w:proofErr w:type="gramStart"/>
      <w:r w:rsidRPr="00DA4FFF">
        <w:rPr>
          <w:bCs/>
        </w:rPr>
        <w:t>revelaram</w:t>
      </w:r>
      <w:proofErr w:type="gramEnd"/>
      <w:r w:rsidRPr="00DA4FFF">
        <w:rPr>
          <w:bCs/>
        </w:rPr>
        <w:t xml:space="preserve"> que participa do programa Bolsa Família. </w:t>
      </w:r>
    </w:p>
    <w:p w:rsidR="00DA4FFF" w:rsidRPr="00DA4FFF" w:rsidRDefault="00DA4FFF" w:rsidP="00DA4FFF">
      <w:pPr>
        <w:spacing w:after="120"/>
        <w:jc w:val="both"/>
        <w:rPr>
          <w:i/>
        </w:rPr>
      </w:pPr>
      <w:r w:rsidRPr="00DA4FFF">
        <w:rPr>
          <w:bCs/>
        </w:rPr>
        <w:t>A maioria dos participantes pertence aos bairros Saturnino Pereira (37,83%) e Residencial Liberdade (23,04%), devido a maior concentração de beneficiários do PMCMV nestes bairros. Contudo, procurou-se visitar as famílias contempladas pelo programa em toda a cidade, percorrendo 14 bairros, conforme Tabela 3.</w:t>
      </w:r>
    </w:p>
    <w:p w:rsidR="00DA4FFF" w:rsidRPr="00DA4FFF" w:rsidRDefault="00DA4FFF" w:rsidP="00DA4FFF">
      <w:pPr>
        <w:pStyle w:val="Ttulo2"/>
        <w:rPr>
          <w:szCs w:val="24"/>
        </w:rPr>
      </w:pPr>
    </w:p>
    <w:p w:rsidR="00DA4FFF" w:rsidRPr="00DA4FFF" w:rsidRDefault="00DA4FFF" w:rsidP="00DA4FFF">
      <w:pPr>
        <w:pStyle w:val="Ttulo2"/>
        <w:rPr>
          <w:szCs w:val="24"/>
        </w:rPr>
      </w:pPr>
      <w:bookmarkStart w:id="21" w:name="_Toc469305045"/>
      <w:r w:rsidRPr="00DA4FFF">
        <w:rPr>
          <w:szCs w:val="24"/>
        </w:rPr>
        <w:t>4.2 Condições do Imóvel</w:t>
      </w:r>
      <w:bookmarkEnd w:id="21"/>
    </w:p>
    <w:p w:rsidR="00DA4FFF" w:rsidRPr="00DA4FFF" w:rsidRDefault="00DA4FFF" w:rsidP="00DA4FFF">
      <w:pPr>
        <w:spacing w:after="120"/>
        <w:jc w:val="both"/>
        <w:rPr>
          <w:bCs/>
        </w:rPr>
      </w:pPr>
      <w:r w:rsidRPr="00DA4FFF">
        <w:t xml:space="preserve">Com o propósito de verificar a satisfação dos beneficiários do PMCMV, buscou-se primeiro conhecer o perfil dos pesquisados, o tipo de moradia anterior, quando o imóvel foi entregue, prazo médio de financiamento, para então compreender os aspectos que envolvem a percepção destes, como consumidores finais. </w:t>
      </w:r>
    </w:p>
    <w:p w:rsidR="00DA4FFF" w:rsidRPr="00DA4FFF" w:rsidRDefault="00DA4FFF" w:rsidP="00DA4FFF">
      <w:pPr>
        <w:spacing w:after="120"/>
        <w:jc w:val="both"/>
        <w:rPr>
          <w:bCs/>
        </w:rPr>
      </w:pPr>
      <w:r w:rsidRPr="00DA4FFF">
        <w:rPr>
          <w:bCs/>
        </w:rPr>
        <w:t xml:space="preserve">Pode-se dizer que o PMCMV possibilitou que 56,52% famílias deixasse a condição de inquilino, conforme Gráfico </w:t>
      </w:r>
      <w:proofErr w:type="gramStart"/>
      <w:r w:rsidRPr="00DA4FFF">
        <w:rPr>
          <w:bCs/>
        </w:rPr>
        <w:t>1</w:t>
      </w:r>
      <w:proofErr w:type="gramEnd"/>
      <w:r w:rsidRPr="00DA4FFF">
        <w:rPr>
          <w:bCs/>
        </w:rPr>
        <w:t>, sendo mais relevante para 57,69% destas (75 famílias) tinham um custo excessivo com aluguel, tendo em visto que o valor do aluguel era superior ao valor atual da prestação habitacional.</w:t>
      </w:r>
    </w:p>
    <w:p w:rsidR="00DA4FFF" w:rsidRPr="000C6BD2" w:rsidRDefault="00DA4FFF" w:rsidP="00DA4FFF">
      <w:pPr>
        <w:ind w:firstLine="709"/>
        <w:jc w:val="both"/>
      </w:pPr>
    </w:p>
    <w:p w:rsidR="00DA4FFF" w:rsidRPr="00DA4FFF" w:rsidRDefault="00DA4FFF" w:rsidP="00DA4FFF">
      <w:pPr>
        <w:keepNext/>
      </w:pPr>
      <w:r w:rsidRPr="00DA4FFF">
        <w:rPr>
          <w:noProof/>
          <w:lang w:val="pt-BR"/>
        </w:rPr>
        <w:drawing>
          <wp:inline distT="0" distB="0" distL="0" distR="0" wp14:anchorId="451E5AC7" wp14:editId="388D58D0">
            <wp:extent cx="5753100" cy="1704975"/>
            <wp:effectExtent l="0" t="0" r="19050" b="9525"/>
            <wp:docPr id="2" name="Gráfico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37F1C3-3E7D-4FCC-B872-1775830F0F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A4FFF" w:rsidRPr="00DA4FFF" w:rsidRDefault="00DA4FFF" w:rsidP="00DA4FFF">
      <w:pPr>
        <w:jc w:val="both"/>
        <w:rPr>
          <w:sz w:val="20"/>
          <w:szCs w:val="20"/>
        </w:rPr>
      </w:pPr>
      <w:bookmarkStart w:id="22" w:name="_Toc467500554"/>
      <w:r w:rsidRPr="00DA4FFF">
        <w:rPr>
          <w:sz w:val="20"/>
          <w:szCs w:val="20"/>
        </w:rPr>
        <w:t>Gráfico 1 - Tipo de moradia anterior</w:t>
      </w:r>
      <w:bookmarkEnd w:id="22"/>
      <w:r w:rsidRPr="00DA4FFF">
        <w:rPr>
          <w:sz w:val="20"/>
          <w:szCs w:val="20"/>
        </w:rPr>
        <w:t xml:space="preserve"> </w:t>
      </w:r>
      <w:proofErr w:type="gramStart"/>
      <w:r w:rsidRPr="00DA4FFF">
        <w:rPr>
          <w:sz w:val="20"/>
          <w:szCs w:val="20"/>
        </w:rPr>
        <w:t>a</w:t>
      </w:r>
      <w:proofErr w:type="gramEnd"/>
      <w:r w:rsidRPr="00DA4FFF">
        <w:rPr>
          <w:sz w:val="20"/>
          <w:szCs w:val="20"/>
        </w:rPr>
        <w:t xml:space="preserve"> moradia atual</w:t>
      </w:r>
    </w:p>
    <w:p w:rsidR="00DA4FFF" w:rsidRPr="00DA4FFF" w:rsidRDefault="00DA4FFF" w:rsidP="00DA4FFF">
      <w:pPr>
        <w:jc w:val="both"/>
        <w:rPr>
          <w:sz w:val="20"/>
          <w:szCs w:val="20"/>
        </w:rPr>
      </w:pPr>
      <w:r w:rsidRPr="00DA4FFF">
        <w:rPr>
          <w:sz w:val="20"/>
          <w:szCs w:val="20"/>
        </w:rPr>
        <w:t>Fonte: Resultados da Pesquisa (2017)</w:t>
      </w:r>
    </w:p>
    <w:p w:rsidR="00DA4FFF" w:rsidRPr="00DA4FFF" w:rsidRDefault="00DA4FFF" w:rsidP="00DA4FFF">
      <w:pPr>
        <w:jc w:val="both"/>
        <w:rPr>
          <w:sz w:val="20"/>
          <w:szCs w:val="20"/>
        </w:rPr>
      </w:pPr>
    </w:p>
    <w:p w:rsidR="00DA4FFF" w:rsidRPr="00DA4FFF" w:rsidRDefault="00DA4FFF" w:rsidP="00DA4FFF">
      <w:pPr>
        <w:spacing w:after="120"/>
        <w:jc w:val="both"/>
      </w:pPr>
      <w:r w:rsidRPr="00DA4FFF">
        <w:t>Dentre os 16,96% que declararam que moravam com familiar ou amigo, 20,51% visavam o compartilhamento de custos, enquanto para 79,59% o programa possibilitou a compra da casa própria antes de constituir família. O PMCMV motivou ainda a aquisição de moradia digna para aqueles que moravam em situação de desconforto, mesmo não pagando aluguel, como é o caso de quem reside em imóvel cedido ou em moradia própria, mas em condições precárias e normalmente construída em lote de algum familiar.</w:t>
      </w:r>
    </w:p>
    <w:p w:rsidR="00DA4FFF" w:rsidRPr="00DA4FFF" w:rsidRDefault="00DA4FFF" w:rsidP="0036721B">
      <w:pPr>
        <w:spacing w:after="120"/>
        <w:jc w:val="both"/>
      </w:pPr>
      <w:r w:rsidRPr="00DA4FFF">
        <w:t xml:space="preserve">O prazo médio para pagamento do financiamento apontado na pesquisa é de 24 anos e </w:t>
      </w:r>
      <w:proofErr w:type="gramStart"/>
      <w:r w:rsidRPr="00DA4FFF">
        <w:t>9</w:t>
      </w:r>
      <w:proofErr w:type="gramEnd"/>
      <w:r w:rsidRPr="00DA4FFF">
        <w:t xml:space="preserve"> meses. Sendo que destes, 33,04% tomaram posse do imóvel em 2015, conforme gráfico </w:t>
      </w:r>
      <w:proofErr w:type="gramStart"/>
      <w:r w:rsidRPr="00DA4FFF">
        <w:t>2</w:t>
      </w:r>
      <w:proofErr w:type="gramEnd"/>
      <w:r w:rsidRPr="00DA4FFF">
        <w:t>.</w:t>
      </w:r>
    </w:p>
    <w:p w:rsidR="00DA4FFF" w:rsidRPr="00DA4FFF" w:rsidRDefault="00DA4FFF" w:rsidP="00DA4FFF">
      <w:pPr>
        <w:keepNext/>
      </w:pPr>
      <w:r w:rsidRPr="00DA4FFF">
        <w:rPr>
          <w:noProof/>
          <w:lang w:val="pt-BR"/>
        </w:rPr>
        <w:drawing>
          <wp:inline distT="0" distB="0" distL="0" distR="0" wp14:anchorId="69B6725A" wp14:editId="174DE2DB">
            <wp:extent cx="5715000" cy="1819275"/>
            <wp:effectExtent l="0" t="0" r="19050" b="9525"/>
            <wp:docPr id="3" name="Gráfico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72034A-5B61-44C7-854C-365FD8F940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A4FFF" w:rsidRPr="00DA4FFF" w:rsidRDefault="00DA4FFF" w:rsidP="00DA4FFF">
      <w:pPr>
        <w:jc w:val="both"/>
        <w:rPr>
          <w:sz w:val="20"/>
          <w:szCs w:val="20"/>
        </w:rPr>
      </w:pPr>
      <w:bookmarkStart w:id="23" w:name="_Toc467500555"/>
      <w:r w:rsidRPr="00DA4FFF">
        <w:rPr>
          <w:sz w:val="20"/>
          <w:szCs w:val="20"/>
        </w:rPr>
        <w:t>Gráfico 2 - Ano que o Imóvel foi entregue</w:t>
      </w:r>
      <w:bookmarkEnd w:id="23"/>
    </w:p>
    <w:p w:rsidR="00DA4FFF" w:rsidRPr="00DA4FFF" w:rsidRDefault="00DA4FFF" w:rsidP="00DA4FFF">
      <w:pPr>
        <w:jc w:val="both"/>
        <w:rPr>
          <w:sz w:val="20"/>
          <w:szCs w:val="20"/>
        </w:rPr>
      </w:pPr>
      <w:r w:rsidRPr="00DA4FFF">
        <w:rPr>
          <w:sz w:val="20"/>
          <w:szCs w:val="20"/>
        </w:rPr>
        <w:t>Fonte: Resultados da Pesquisa (2017)</w:t>
      </w:r>
    </w:p>
    <w:p w:rsidR="00DA4FFF" w:rsidRPr="00DA4FFF" w:rsidRDefault="00DA4FFF" w:rsidP="00DA4FFF">
      <w:pPr>
        <w:jc w:val="both"/>
        <w:rPr>
          <w:sz w:val="22"/>
          <w:szCs w:val="22"/>
        </w:rPr>
      </w:pPr>
    </w:p>
    <w:p w:rsidR="00182117" w:rsidRPr="00DA4FFF" w:rsidRDefault="00DA4FFF" w:rsidP="00DA4FFF">
      <w:pPr>
        <w:jc w:val="both"/>
      </w:pPr>
      <w:bookmarkStart w:id="24" w:name="_Toc467499906"/>
      <w:r w:rsidRPr="00DA4FFF">
        <w:t>Buscou-se verificar se o prazo de entrega combinado foi cumprido. Constatou-se que as construtoras normalmente atrasam a entrega da obra. Pode-se observar, pela Tabela 4, que 48,26% das obras atrasaram. Isto causa desconforto, principalmente para aqueles que pagam aluguel (57,66%), pois precisam arcar com o custo mensal do aluguel e da parcela referente ao juro do capital já utilizado durante a obra. Fato mais significativo ainda para 56,25% dos pesquisados, pois declararam que o valor do aluguel era superior ao valor atual da parcela do financiamento. Este atraso representou um desembolso que não estava planejado para 64 famílias, tendo em vista que durante esse período necessitaram ajustar o orçamento.</w:t>
      </w:r>
    </w:p>
    <w:bookmarkEnd w:id="24"/>
    <w:p w:rsidR="00DA4FFF" w:rsidRPr="00F6033F" w:rsidRDefault="00DA4FFF" w:rsidP="00DA4FFF">
      <w:pPr>
        <w:jc w:val="both"/>
      </w:pPr>
    </w:p>
    <w:tbl>
      <w:tblPr>
        <w:tblW w:w="4964" w:type="pct"/>
        <w:tblBorders>
          <w:top w:val="single" w:sz="4" w:space="0" w:color="auto"/>
          <w:bottom w:val="sing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947"/>
        <w:gridCol w:w="971"/>
        <w:gridCol w:w="977"/>
        <w:gridCol w:w="583"/>
        <w:gridCol w:w="757"/>
        <w:gridCol w:w="529"/>
        <w:gridCol w:w="797"/>
        <w:gridCol w:w="547"/>
        <w:gridCol w:w="781"/>
        <w:gridCol w:w="492"/>
        <w:gridCol w:w="763"/>
      </w:tblGrid>
      <w:tr w:rsidR="00DA4FFF" w:rsidRPr="00DA4FFF" w:rsidTr="00F6033F">
        <w:trPr>
          <w:trHeight w:val="274"/>
        </w:trPr>
        <w:tc>
          <w:tcPr>
            <w:tcW w:w="1065" w:type="pct"/>
            <w:vMerge w:val="restart"/>
            <w:tcBorders>
              <w:top w:val="single" w:sz="4" w:space="0" w:color="auto"/>
              <w:bottom w:val="dotted" w:sz="4" w:space="0" w:color="auto"/>
            </w:tcBorders>
            <w:shd w:val="clear" w:color="auto" w:fill="auto"/>
            <w:vAlign w:val="center"/>
            <w:hideMark/>
          </w:tcPr>
          <w:p w:rsidR="00DA4FFF" w:rsidRPr="00DA4FFF" w:rsidRDefault="00DA4FFF" w:rsidP="00DA4FFF">
            <w:pPr>
              <w:rPr>
                <w:sz w:val="20"/>
                <w:szCs w:val="20"/>
              </w:rPr>
            </w:pPr>
            <w:r w:rsidRPr="00DA4FFF">
              <w:rPr>
                <w:sz w:val="20"/>
                <w:szCs w:val="20"/>
              </w:rPr>
              <w:t>A casa foi entregue no tempo combinado?</w:t>
            </w:r>
          </w:p>
        </w:tc>
        <w:tc>
          <w:tcPr>
            <w:tcW w:w="1065" w:type="pct"/>
            <w:gridSpan w:val="2"/>
            <w:tcBorders>
              <w:top w:val="single" w:sz="4" w:space="0" w:color="auto"/>
              <w:bottom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 xml:space="preserve"> Frequência </w:t>
            </w:r>
          </w:p>
        </w:tc>
        <w:tc>
          <w:tcPr>
            <w:tcW w:w="1458" w:type="pct"/>
            <w:gridSpan w:val="4"/>
            <w:vMerge w:val="restart"/>
            <w:tcBorders>
              <w:top w:val="single" w:sz="4" w:space="0" w:color="auto"/>
              <w:bottom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Moradia anterior alugada</w:t>
            </w:r>
          </w:p>
        </w:tc>
        <w:tc>
          <w:tcPr>
            <w:tcW w:w="1412" w:type="pct"/>
            <w:gridSpan w:val="4"/>
            <w:vMerge w:val="restart"/>
            <w:tcBorders>
              <w:top w:val="single" w:sz="4" w:space="0" w:color="auto"/>
              <w:bottom w:val="dotted" w:sz="4" w:space="0" w:color="auto"/>
            </w:tcBorders>
            <w:shd w:val="clear" w:color="auto" w:fill="auto"/>
            <w:vAlign w:val="center"/>
          </w:tcPr>
          <w:p w:rsidR="00DA4FFF" w:rsidRPr="00DA4FFF" w:rsidRDefault="00DA4FFF" w:rsidP="00DA4FFF">
            <w:pPr>
              <w:rPr>
                <w:sz w:val="20"/>
                <w:szCs w:val="20"/>
              </w:rPr>
            </w:pPr>
            <w:r w:rsidRPr="00DA4FFF">
              <w:rPr>
                <w:sz w:val="20"/>
                <w:szCs w:val="20"/>
              </w:rPr>
              <w:t>Moradia alugada, por valor superior ao valor atual da prestação.</w:t>
            </w:r>
          </w:p>
        </w:tc>
      </w:tr>
      <w:tr w:rsidR="00DA4FFF" w:rsidRPr="00DA4FFF" w:rsidTr="00F6033F">
        <w:trPr>
          <w:trHeight w:val="274"/>
        </w:trPr>
        <w:tc>
          <w:tcPr>
            <w:tcW w:w="1065" w:type="pct"/>
            <w:vMerge/>
            <w:tcBorders>
              <w:top w:val="dotted" w:sz="4" w:space="0" w:color="auto"/>
              <w:bottom w:val="single" w:sz="4" w:space="0" w:color="auto"/>
            </w:tcBorders>
            <w:vAlign w:val="center"/>
            <w:hideMark/>
          </w:tcPr>
          <w:p w:rsidR="00DA4FFF" w:rsidRPr="00DA4FFF" w:rsidRDefault="00DA4FFF" w:rsidP="00DA4FFF">
            <w:pPr>
              <w:rPr>
                <w:sz w:val="20"/>
                <w:szCs w:val="20"/>
              </w:rPr>
            </w:pPr>
          </w:p>
        </w:tc>
        <w:tc>
          <w:tcPr>
            <w:tcW w:w="531" w:type="pct"/>
            <w:tcBorders>
              <w:top w:val="dotted" w:sz="4" w:space="0" w:color="auto"/>
              <w:bottom w:val="single" w:sz="4" w:space="0" w:color="auto"/>
            </w:tcBorders>
            <w:shd w:val="clear" w:color="auto" w:fill="auto"/>
            <w:noWrap/>
            <w:vAlign w:val="center"/>
            <w:hideMark/>
          </w:tcPr>
          <w:p w:rsidR="00DA4FFF" w:rsidRPr="00DA4FFF" w:rsidRDefault="00DA4FFF" w:rsidP="00DA4FFF">
            <w:pPr>
              <w:rPr>
                <w:sz w:val="20"/>
                <w:szCs w:val="20"/>
              </w:rPr>
            </w:pPr>
            <w:r w:rsidRPr="00DA4FFF">
              <w:rPr>
                <w:sz w:val="20"/>
                <w:szCs w:val="20"/>
              </w:rPr>
              <w:t>Absoluta</w:t>
            </w:r>
          </w:p>
        </w:tc>
        <w:tc>
          <w:tcPr>
            <w:tcW w:w="534" w:type="pct"/>
            <w:tcBorders>
              <w:top w:val="dotted" w:sz="4" w:space="0" w:color="auto"/>
              <w:bottom w:val="single" w:sz="4" w:space="0" w:color="auto"/>
            </w:tcBorders>
            <w:shd w:val="clear" w:color="auto" w:fill="auto"/>
            <w:vAlign w:val="center"/>
            <w:hideMark/>
          </w:tcPr>
          <w:p w:rsidR="00DA4FFF" w:rsidRPr="00DA4FFF" w:rsidRDefault="00DA4FFF" w:rsidP="00DA4FFF">
            <w:pPr>
              <w:jc w:val="center"/>
              <w:rPr>
                <w:sz w:val="20"/>
                <w:szCs w:val="20"/>
              </w:rPr>
            </w:pPr>
            <w:r w:rsidRPr="00DA4FFF">
              <w:rPr>
                <w:sz w:val="20"/>
                <w:szCs w:val="20"/>
              </w:rPr>
              <w:t>Relativa</w:t>
            </w:r>
          </w:p>
        </w:tc>
        <w:tc>
          <w:tcPr>
            <w:tcW w:w="1458" w:type="pct"/>
            <w:gridSpan w:val="4"/>
            <w:vMerge/>
            <w:tcBorders>
              <w:top w:val="dotted" w:sz="4" w:space="0" w:color="auto"/>
              <w:bottom w:val="single" w:sz="4" w:space="0" w:color="auto"/>
            </w:tcBorders>
            <w:shd w:val="clear" w:color="auto" w:fill="auto"/>
            <w:noWrap/>
            <w:vAlign w:val="center"/>
            <w:hideMark/>
          </w:tcPr>
          <w:p w:rsidR="00DA4FFF" w:rsidRPr="00DA4FFF" w:rsidRDefault="00DA4FFF" w:rsidP="00DA4FFF">
            <w:pPr>
              <w:jc w:val="center"/>
              <w:rPr>
                <w:sz w:val="20"/>
                <w:szCs w:val="20"/>
              </w:rPr>
            </w:pPr>
          </w:p>
        </w:tc>
        <w:tc>
          <w:tcPr>
            <w:tcW w:w="1412" w:type="pct"/>
            <w:gridSpan w:val="4"/>
            <w:vMerge/>
            <w:tcBorders>
              <w:top w:val="dotted" w:sz="4" w:space="0" w:color="auto"/>
              <w:bottom w:val="single" w:sz="4" w:space="0" w:color="auto"/>
            </w:tcBorders>
            <w:shd w:val="clear" w:color="auto" w:fill="auto"/>
            <w:vAlign w:val="center"/>
          </w:tcPr>
          <w:p w:rsidR="00DA4FFF" w:rsidRPr="00DA4FFF" w:rsidRDefault="00DA4FFF" w:rsidP="00DA4FFF">
            <w:pPr>
              <w:jc w:val="center"/>
              <w:rPr>
                <w:sz w:val="20"/>
                <w:szCs w:val="20"/>
              </w:rPr>
            </w:pPr>
          </w:p>
        </w:tc>
      </w:tr>
      <w:tr w:rsidR="00DA4FFF" w:rsidRPr="00DA4FFF" w:rsidTr="00F6033F">
        <w:trPr>
          <w:trHeight w:val="274"/>
        </w:trPr>
        <w:tc>
          <w:tcPr>
            <w:tcW w:w="1065" w:type="pct"/>
            <w:tcBorders>
              <w:top w:val="single" w:sz="4" w:space="0" w:color="auto"/>
            </w:tcBorders>
            <w:shd w:val="clear" w:color="auto" w:fill="auto"/>
            <w:vAlign w:val="center"/>
            <w:hideMark/>
          </w:tcPr>
          <w:p w:rsidR="00DA4FFF" w:rsidRPr="00DA4FFF" w:rsidRDefault="00DA4FFF" w:rsidP="00DA4FFF">
            <w:pPr>
              <w:rPr>
                <w:sz w:val="20"/>
                <w:szCs w:val="20"/>
              </w:rPr>
            </w:pPr>
            <w:r w:rsidRPr="00DA4FFF">
              <w:rPr>
                <w:sz w:val="20"/>
                <w:szCs w:val="20"/>
              </w:rPr>
              <w:t>Sim</w:t>
            </w:r>
          </w:p>
        </w:tc>
        <w:tc>
          <w:tcPr>
            <w:tcW w:w="531" w:type="pct"/>
            <w:tcBorders>
              <w:top w:val="single" w:sz="4" w:space="0" w:color="auto"/>
            </w:tcBorders>
            <w:shd w:val="clear" w:color="auto" w:fill="auto"/>
            <w:noWrap/>
            <w:vAlign w:val="center"/>
          </w:tcPr>
          <w:p w:rsidR="00DA4FFF" w:rsidRPr="00DA4FFF" w:rsidRDefault="00DA4FFF" w:rsidP="00DA4FFF">
            <w:pPr>
              <w:jc w:val="center"/>
              <w:rPr>
                <w:sz w:val="20"/>
                <w:szCs w:val="20"/>
              </w:rPr>
            </w:pPr>
            <w:r w:rsidRPr="00DA4FFF">
              <w:rPr>
                <w:sz w:val="20"/>
                <w:szCs w:val="20"/>
              </w:rPr>
              <w:t>119</w:t>
            </w:r>
          </w:p>
        </w:tc>
        <w:tc>
          <w:tcPr>
            <w:tcW w:w="534" w:type="pct"/>
            <w:tcBorders>
              <w:top w:val="single" w:sz="4" w:space="0" w:color="auto"/>
            </w:tcBorders>
            <w:shd w:val="clear" w:color="auto" w:fill="auto"/>
            <w:vAlign w:val="center"/>
          </w:tcPr>
          <w:p w:rsidR="00DA4FFF" w:rsidRPr="00DA4FFF" w:rsidRDefault="00DA4FFF" w:rsidP="00DA4FFF">
            <w:pPr>
              <w:jc w:val="center"/>
              <w:rPr>
                <w:sz w:val="20"/>
                <w:szCs w:val="20"/>
              </w:rPr>
            </w:pPr>
            <w:r w:rsidRPr="00DA4FFF">
              <w:rPr>
                <w:sz w:val="20"/>
                <w:szCs w:val="20"/>
              </w:rPr>
              <w:t>51,74%</w:t>
            </w:r>
          </w:p>
        </w:tc>
        <w:tc>
          <w:tcPr>
            <w:tcW w:w="733" w:type="pct"/>
            <w:gridSpan w:val="2"/>
            <w:tcBorders>
              <w:top w:val="single" w:sz="4" w:space="0" w:color="auto"/>
            </w:tcBorders>
            <w:shd w:val="clear" w:color="auto" w:fill="auto"/>
            <w:noWrap/>
          </w:tcPr>
          <w:p w:rsidR="00DA4FFF" w:rsidRPr="00DA4FFF" w:rsidRDefault="00DA4FFF" w:rsidP="00DA4FFF">
            <w:pPr>
              <w:jc w:val="center"/>
              <w:rPr>
                <w:sz w:val="20"/>
                <w:szCs w:val="20"/>
              </w:rPr>
            </w:pPr>
            <w:r w:rsidRPr="00DA4FFF">
              <w:rPr>
                <w:sz w:val="20"/>
                <w:szCs w:val="20"/>
              </w:rPr>
              <w:t>Sim</w:t>
            </w:r>
          </w:p>
        </w:tc>
        <w:tc>
          <w:tcPr>
            <w:tcW w:w="725" w:type="pct"/>
            <w:gridSpan w:val="2"/>
            <w:tcBorders>
              <w:top w:val="single" w:sz="4" w:space="0" w:color="auto"/>
            </w:tcBorders>
            <w:shd w:val="clear" w:color="auto" w:fill="auto"/>
            <w:noWrap/>
            <w:vAlign w:val="center"/>
          </w:tcPr>
          <w:p w:rsidR="00DA4FFF" w:rsidRPr="00DA4FFF" w:rsidRDefault="00DA4FFF" w:rsidP="00DA4FFF">
            <w:pPr>
              <w:jc w:val="center"/>
              <w:rPr>
                <w:sz w:val="20"/>
                <w:szCs w:val="20"/>
              </w:rPr>
            </w:pPr>
            <w:r w:rsidRPr="00DA4FFF">
              <w:rPr>
                <w:sz w:val="20"/>
                <w:szCs w:val="20"/>
              </w:rPr>
              <w:t>Não</w:t>
            </w:r>
          </w:p>
        </w:tc>
        <w:tc>
          <w:tcPr>
            <w:tcW w:w="726" w:type="pct"/>
            <w:gridSpan w:val="2"/>
            <w:tcBorders>
              <w:top w:val="single" w:sz="4" w:space="0" w:color="auto"/>
            </w:tcBorders>
            <w:shd w:val="clear" w:color="auto" w:fill="auto"/>
          </w:tcPr>
          <w:p w:rsidR="00DA4FFF" w:rsidRPr="00DA4FFF" w:rsidRDefault="00DA4FFF" w:rsidP="00DA4FFF">
            <w:pPr>
              <w:jc w:val="center"/>
              <w:rPr>
                <w:sz w:val="20"/>
                <w:szCs w:val="20"/>
              </w:rPr>
            </w:pPr>
            <w:r w:rsidRPr="00DA4FFF">
              <w:rPr>
                <w:sz w:val="20"/>
                <w:szCs w:val="20"/>
              </w:rPr>
              <w:t>Sim</w:t>
            </w:r>
          </w:p>
        </w:tc>
        <w:tc>
          <w:tcPr>
            <w:tcW w:w="686" w:type="pct"/>
            <w:gridSpan w:val="2"/>
            <w:tcBorders>
              <w:top w:val="single" w:sz="4" w:space="0" w:color="auto"/>
            </w:tcBorders>
            <w:shd w:val="clear" w:color="auto" w:fill="auto"/>
            <w:vAlign w:val="center"/>
          </w:tcPr>
          <w:p w:rsidR="00DA4FFF" w:rsidRPr="00DA4FFF" w:rsidRDefault="00DA4FFF" w:rsidP="00DA4FFF">
            <w:pPr>
              <w:jc w:val="center"/>
              <w:rPr>
                <w:sz w:val="20"/>
                <w:szCs w:val="20"/>
              </w:rPr>
            </w:pPr>
            <w:r w:rsidRPr="00DA4FFF">
              <w:rPr>
                <w:sz w:val="20"/>
                <w:szCs w:val="20"/>
              </w:rPr>
              <w:t>Não</w:t>
            </w:r>
          </w:p>
        </w:tc>
      </w:tr>
      <w:tr w:rsidR="00DA4FFF" w:rsidRPr="00DA4FFF" w:rsidTr="00F6033F">
        <w:trPr>
          <w:trHeight w:val="274"/>
        </w:trPr>
        <w:tc>
          <w:tcPr>
            <w:tcW w:w="1065" w:type="pct"/>
            <w:tcBorders>
              <w:bottom w:val="single" w:sz="4" w:space="0" w:color="auto"/>
            </w:tcBorders>
            <w:shd w:val="clear" w:color="auto" w:fill="auto"/>
            <w:vAlign w:val="center"/>
            <w:hideMark/>
          </w:tcPr>
          <w:p w:rsidR="00DA4FFF" w:rsidRPr="00DA4FFF" w:rsidRDefault="00DA4FFF" w:rsidP="00DA4FFF">
            <w:pPr>
              <w:rPr>
                <w:sz w:val="20"/>
                <w:szCs w:val="20"/>
              </w:rPr>
            </w:pPr>
            <w:r w:rsidRPr="00DA4FFF">
              <w:rPr>
                <w:sz w:val="20"/>
                <w:szCs w:val="20"/>
              </w:rPr>
              <w:t>Não</w:t>
            </w:r>
          </w:p>
        </w:tc>
        <w:tc>
          <w:tcPr>
            <w:tcW w:w="531" w:type="pct"/>
            <w:tcBorders>
              <w:bottom w:val="single" w:sz="4" w:space="0" w:color="auto"/>
            </w:tcBorders>
            <w:shd w:val="clear" w:color="auto" w:fill="auto"/>
            <w:noWrap/>
            <w:vAlign w:val="center"/>
          </w:tcPr>
          <w:p w:rsidR="00DA4FFF" w:rsidRPr="00DA4FFF" w:rsidRDefault="00DA4FFF" w:rsidP="00DA4FFF">
            <w:pPr>
              <w:jc w:val="center"/>
              <w:rPr>
                <w:sz w:val="20"/>
                <w:szCs w:val="20"/>
              </w:rPr>
            </w:pPr>
            <w:r w:rsidRPr="00DA4FFF">
              <w:rPr>
                <w:sz w:val="20"/>
                <w:szCs w:val="20"/>
              </w:rPr>
              <w:t>111</w:t>
            </w:r>
          </w:p>
        </w:tc>
        <w:tc>
          <w:tcPr>
            <w:tcW w:w="534" w:type="pct"/>
            <w:tcBorders>
              <w:bottom w:val="single" w:sz="4" w:space="0" w:color="auto"/>
            </w:tcBorders>
            <w:shd w:val="clear" w:color="auto" w:fill="auto"/>
            <w:vAlign w:val="center"/>
          </w:tcPr>
          <w:p w:rsidR="00DA4FFF" w:rsidRPr="00DA4FFF" w:rsidRDefault="00DA4FFF" w:rsidP="00DA4FFF">
            <w:pPr>
              <w:jc w:val="center"/>
              <w:rPr>
                <w:sz w:val="20"/>
                <w:szCs w:val="20"/>
              </w:rPr>
            </w:pPr>
            <w:r w:rsidRPr="00DA4FFF">
              <w:rPr>
                <w:sz w:val="20"/>
                <w:szCs w:val="20"/>
              </w:rPr>
              <w:t>48,26%</w:t>
            </w:r>
          </w:p>
        </w:tc>
        <w:tc>
          <w:tcPr>
            <w:tcW w:w="319" w:type="pct"/>
            <w:tcBorders>
              <w:bottom w:val="single" w:sz="4" w:space="0" w:color="auto"/>
            </w:tcBorders>
            <w:shd w:val="clear" w:color="auto" w:fill="auto"/>
            <w:noWrap/>
            <w:vAlign w:val="bottom"/>
            <w:hideMark/>
          </w:tcPr>
          <w:p w:rsidR="00DA4FFF" w:rsidRPr="00DA4FFF" w:rsidRDefault="00DA4FFF" w:rsidP="00DA4FFF">
            <w:pPr>
              <w:jc w:val="center"/>
              <w:rPr>
                <w:sz w:val="20"/>
                <w:szCs w:val="20"/>
              </w:rPr>
            </w:pPr>
            <w:r w:rsidRPr="00DA4FFF">
              <w:rPr>
                <w:sz w:val="20"/>
                <w:szCs w:val="20"/>
              </w:rPr>
              <w:t>64</w:t>
            </w:r>
          </w:p>
        </w:tc>
        <w:tc>
          <w:tcPr>
            <w:tcW w:w="414" w:type="pct"/>
            <w:tcBorders>
              <w:bottom w:val="single" w:sz="4" w:space="0" w:color="auto"/>
            </w:tcBorders>
            <w:shd w:val="clear" w:color="auto" w:fill="auto"/>
            <w:noWrap/>
            <w:vAlign w:val="bottom"/>
            <w:hideMark/>
          </w:tcPr>
          <w:p w:rsidR="00DA4FFF" w:rsidRPr="00DA4FFF" w:rsidRDefault="00DA4FFF" w:rsidP="00DA4FFF">
            <w:pPr>
              <w:jc w:val="center"/>
              <w:rPr>
                <w:sz w:val="20"/>
                <w:szCs w:val="20"/>
              </w:rPr>
            </w:pPr>
            <w:r w:rsidRPr="00DA4FFF">
              <w:rPr>
                <w:sz w:val="20"/>
                <w:szCs w:val="20"/>
              </w:rPr>
              <w:t>57,66%</w:t>
            </w:r>
          </w:p>
        </w:tc>
        <w:tc>
          <w:tcPr>
            <w:tcW w:w="289" w:type="pct"/>
            <w:tcBorders>
              <w:bottom w:val="single" w:sz="4" w:space="0" w:color="auto"/>
            </w:tcBorders>
            <w:shd w:val="clear" w:color="auto" w:fill="auto"/>
            <w:noWrap/>
            <w:vAlign w:val="bottom"/>
            <w:hideMark/>
          </w:tcPr>
          <w:p w:rsidR="00DA4FFF" w:rsidRPr="00DA4FFF" w:rsidRDefault="00DA4FFF" w:rsidP="00DA4FFF">
            <w:pPr>
              <w:jc w:val="center"/>
              <w:rPr>
                <w:sz w:val="20"/>
                <w:szCs w:val="20"/>
              </w:rPr>
            </w:pPr>
            <w:r w:rsidRPr="00DA4FFF">
              <w:rPr>
                <w:sz w:val="20"/>
                <w:szCs w:val="20"/>
              </w:rPr>
              <w:t>47</w:t>
            </w:r>
          </w:p>
        </w:tc>
        <w:tc>
          <w:tcPr>
            <w:tcW w:w="436" w:type="pct"/>
            <w:tcBorders>
              <w:bottom w:val="single" w:sz="4" w:space="0" w:color="auto"/>
            </w:tcBorders>
            <w:shd w:val="clear" w:color="auto" w:fill="auto"/>
            <w:noWrap/>
            <w:vAlign w:val="bottom"/>
            <w:hideMark/>
          </w:tcPr>
          <w:p w:rsidR="00DA4FFF" w:rsidRPr="00DA4FFF" w:rsidRDefault="00DA4FFF" w:rsidP="00DA4FFF">
            <w:pPr>
              <w:jc w:val="center"/>
              <w:rPr>
                <w:sz w:val="20"/>
                <w:szCs w:val="20"/>
              </w:rPr>
            </w:pPr>
            <w:r w:rsidRPr="00DA4FFF">
              <w:rPr>
                <w:sz w:val="20"/>
                <w:szCs w:val="20"/>
              </w:rPr>
              <w:t>42,34%</w:t>
            </w:r>
          </w:p>
        </w:tc>
        <w:tc>
          <w:tcPr>
            <w:tcW w:w="299" w:type="pct"/>
            <w:tcBorders>
              <w:bottom w:val="single" w:sz="4" w:space="0" w:color="auto"/>
            </w:tcBorders>
            <w:shd w:val="clear" w:color="auto" w:fill="auto"/>
            <w:vAlign w:val="bottom"/>
          </w:tcPr>
          <w:p w:rsidR="00DA4FFF" w:rsidRPr="00DA4FFF" w:rsidRDefault="00DA4FFF" w:rsidP="00DA4FFF">
            <w:pPr>
              <w:jc w:val="center"/>
              <w:rPr>
                <w:sz w:val="20"/>
                <w:szCs w:val="20"/>
              </w:rPr>
            </w:pPr>
            <w:r w:rsidRPr="00DA4FFF">
              <w:rPr>
                <w:sz w:val="20"/>
                <w:szCs w:val="20"/>
              </w:rPr>
              <w:t>36</w:t>
            </w:r>
          </w:p>
        </w:tc>
        <w:tc>
          <w:tcPr>
            <w:tcW w:w="427" w:type="pct"/>
            <w:tcBorders>
              <w:bottom w:val="single" w:sz="4" w:space="0" w:color="auto"/>
            </w:tcBorders>
            <w:shd w:val="clear" w:color="auto" w:fill="auto"/>
            <w:vAlign w:val="bottom"/>
          </w:tcPr>
          <w:p w:rsidR="00DA4FFF" w:rsidRPr="00DA4FFF" w:rsidRDefault="00DA4FFF" w:rsidP="00DA4FFF">
            <w:pPr>
              <w:jc w:val="center"/>
              <w:rPr>
                <w:sz w:val="20"/>
                <w:szCs w:val="20"/>
              </w:rPr>
            </w:pPr>
            <w:r w:rsidRPr="00DA4FFF">
              <w:rPr>
                <w:sz w:val="20"/>
                <w:szCs w:val="20"/>
              </w:rPr>
              <w:t>56,25%</w:t>
            </w:r>
          </w:p>
        </w:tc>
        <w:tc>
          <w:tcPr>
            <w:tcW w:w="269" w:type="pct"/>
            <w:tcBorders>
              <w:bottom w:val="single" w:sz="4" w:space="0" w:color="auto"/>
            </w:tcBorders>
            <w:shd w:val="clear" w:color="auto" w:fill="auto"/>
            <w:vAlign w:val="bottom"/>
          </w:tcPr>
          <w:p w:rsidR="00DA4FFF" w:rsidRPr="00DA4FFF" w:rsidRDefault="00DA4FFF" w:rsidP="00DA4FFF">
            <w:pPr>
              <w:jc w:val="center"/>
              <w:rPr>
                <w:sz w:val="20"/>
                <w:szCs w:val="20"/>
              </w:rPr>
            </w:pPr>
            <w:r w:rsidRPr="00DA4FFF">
              <w:rPr>
                <w:sz w:val="20"/>
                <w:szCs w:val="20"/>
              </w:rPr>
              <w:t>28</w:t>
            </w:r>
          </w:p>
        </w:tc>
        <w:tc>
          <w:tcPr>
            <w:tcW w:w="417" w:type="pct"/>
            <w:tcBorders>
              <w:bottom w:val="single" w:sz="4" w:space="0" w:color="auto"/>
            </w:tcBorders>
            <w:shd w:val="clear" w:color="auto" w:fill="auto"/>
            <w:vAlign w:val="bottom"/>
          </w:tcPr>
          <w:p w:rsidR="00DA4FFF" w:rsidRPr="00DA4FFF" w:rsidRDefault="00DA4FFF" w:rsidP="00DA4FFF">
            <w:pPr>
              <w:jc w:val="center"/>
              <w:rPr>
                <w:sz w:val="20"/>
                <w:szCs w:val="20"/>
              </w:rPr>
            </w:pPr>
            <w:r w:rsidRPr="00DA4FFF">
              <w:rPr>
                <w:sz w:val="20"/>
                <w:szCs w:val="20"/>
              </w:rPr>
              <w:t>43,75%</w:t>
            </w:r>
          </w:p>
        </w:tc>
      </w:tr>
      <w:tr w:rsidR="00F6033F" w:rsidRPr="00DA4FFF" w:rsidTr="00F6033F">
        <w:trPr>
          <w:trHeight w:val="274"/>
        </w:trPr>
        <w:tc>
          <w:tcPr>
            <w:tcW w:w="5000" w:type="pct"/>
            <w:gridSpan w:val="11"/>
            <w:tcBorders>
              <w:top w:val="single" w:sz="4" w:space="0" w:color="auto"/>
              <w:bottom w:val="nil"/>
            </w:tcBorders>
            <w:shd w:val="clear" w:color="auto" w:fill="auto"/>
            <w:vAlign w:val="center"/>
          </w:tcPr>
          <w:p w:rsidR="00F6033F" w:rsidRPr="00DA4FFF" w:rsidRDefault="00F6033F" w:rsidP="00F6033F">
            <w:pPr>
              <w:rPr>
                <w:sz w:val="20"/>
                <w:szCs w:val="20"/>
              </w:rPr>
            </w:pPr>
            <w:r w:rsidRPr="00DA4FFF">
              <w:rPr>
                <w:sz w:val="20"/>
                <w:szCs w:val="20"/>
              </w:rPr>
              <w:t>Fonte: Resultados da Pesquisa (2017)</w:t>
            </w:r>
          </w:p>
        </w:tc>
      </w:tr>
    </w:tbl>
    <w:p w:rsidR="00342C4E" w:rsidRDefault="00342C4E" w:rsidP="00F6033F">
      <w:pPr>
        <w:spacing w:before="120" w:after="120"/>
        <w:jc w:val="center"/>
        <w:rPr>
          <w:sz w:val="20"/>
          <w:szCs w:val="20"/>
        </w:rPr>
      </w:pPr>
      <w:r w:rsidRPr="00DA4FFF">
        <w:rPr>
          <w:sz w:val="20"/>
          <w:szCs w:val="20"/>
        </w:rPr>
        <w:t xml:space="preserve">Tabela </w:t>
      </w:r>
      <w:r w:rsidRPr="00DA4FFF">
        <w:rPr>
          <w:sz w:val="20"/>
          <w:szCs w:val="20"/>
        </w:rPr>
        <w:fldChar w:fldCharType="begin"/>
      </w:r>
      <w:r w:rsidRPr="00DA4FFF">
        <w:rPr>
          <w:sz w:val="20"/>
          <w:szCs w:val="20"/>
        </w:rPr>
        <w:instrText xml:space="preserve"> SEQ Tabela \* ARABIC </w:instrText>
      </w:r>
      <w:r w:rsidRPr="00DA4FFF">
        <w:rPr>
          <w:sz w:val="20"/>
          <w:szCs w:val="20"/>
        </w:rPr>
        <w:fldChar w:fldCharType="separate"/>
      </w:r>
      <w:r w:rsidRPr="00DA4FFF">
        <w:rPr>
          <w:noProof/>
          <w:sz w:val="20"/>
          <w:szCs w:val="20"/>
        </w:rPr>
        <w:t>4</w:t>
      </w:r>
      <w:r w:rsidRPr="00DA4FFF">
        <w:rPr>
          <w:noProof/>
          <w:sz w:val="20"/>
          <w:szCs w:val="20"/>
        </w:rPr>
        <w:fldChar w:fldCharType="end"/>
      </w:r>
      <w:r w:rsidRPr="00DA4FFF">
        <w:rPr>
          <w:sz w:val="20"/>
          <w:szCs w:val="20"/>
        </w:rPr>
        <w:t xml:space="preserve"> - Atraso na entrega da obra X Custo com aluguel</w:t>
      </w:r>
    </w:p>
    <w:p w:rsidR="00DA4FFF" w:rsidRPr="00DA4FFF" w:rsidRDefault="00DA4FFF" w:rsidP="00DA4FFF">
      <w:pPr>
        <w:jc w:val="both"/>
        <w:rPr>
          <w:sz w:val="20"/>
          <w:szCs w:val="20"/>
        </w:rPr>
      </w:pPr>
    </w:p>
    <w:p w:rsidR="00DA4FFF" w:rsidRPr="00DA4FFF" w:rsidRDefault="00DA4FFF" w:rsidP="00DA4FFF">
      <w:pPr>
        <w:spacing w:after="120"/>
        <w:jc w:val="both"/>
      </w:pPr>
      <w:r w:rsidRPr="00DA4FFF">
        <w:t xml:space="preserve">Este fato foi destacado pelo respondente </w:t>
      </w:r>
      <w:proofErr w:type="gramStart"/>
      <w:r w:rsidRPr="00DA4FFF">
        <w:t>8</w:t>
      </w:r>
      <w:proofErr w:type="gramEnd"/>
      <w:r w:rsidRPr="00DA4FFF">
        <w:t>, ao afirmar que “</w:t>
      </w:r>
      <w:r w:rsidRPr="00DA4FFF">
        <w:rPr>
          <w:i/>
        </w:rPr>
        <w:t xml:space="preserve">a casa demorou para ser entregue, durante esse período tive que pagar aluguel da outra casa e a parcela referente aos juros”. </w:t>
      </w:r>
      <w:r w:rsidRPr="00DA4FFF">
        <w:t xml:space="preserve">O participante 23 ressaltou o tempo de espera </w:t>
      </w:r>
      <w:r w:rsidRPr="00DA4FFF">
        <w:rPr>
          <w:i/>
        </w:rPr>
        <w:t xml:space="preserve">“foi mais de dois anos de espera, enquanto isso tinha que pagar aluguel e o juro do financiamento”. </w:t>
      </w:r>
      <w:r w:rsidRPr="00DA4FFF">
        <w:t>Já</w:t>
      </w:r>
      <w:r w:rsidRPr="00DA4FFF">
        <w:rPr>
          <w:i/>
        </w:rPr>
        <w:t xml:space="preserve"> o </w:t>
      </w:r>
      <w:r w:rsidRPr="00DA4FFF">
        <w:t xml:space="preserve">respondente 35 frisou que está buscando o ressarcimento de parte desse gasto: </w:t>
      </w:r>
      <w:r w:rsidRPr="00DA4FFF">
        <w:rPr>
          <w:i/>
        </w:rPr>
        <w:t>“A entrega da casa demorou muito, por isso estamos na justiça”</w:t>
      </w:r>
      <w:r w:rsidRPr="00DA4FFF">
        <w:t>, todos moradores do bairro Saturnino Pereira.</w:t>
      </w:r>
    </w:p>
    <w:p w:rsidR="00F47265" w:rsidRDefault="00DA4FFF" w:rsidP="00182117">
      <w:pPr>
        <w:spacing w:after="120"/>
        <w:jc w:val="both"/>
      </w:pPr>
      <w:bookmarkStart w:id="25" w:name="_Toc467499907"/>
      <w:r w:rsidRPr="00DA4FFF">
        <w:t xml:space="preserve">Nesse sentido, outros fatores que podem influenciar na percepção de quem compra um imóvel, é a ocorrência de custos inesperados, a detecção de problemas estruturais como rachaduras nas paredes e a casa apresentar goteiras (Tabela 5), tendo em vista que, normalmente, são problemas que precisam de correção rápida para evitar danos maiores, </w:t>
      </w:r>
      <w:r w:rsidRPr="00DA4FFF">
        <w:lastRenderedPageBreak/>
        <w:t>conforme destacou o respondente 107: “</w:t>
      </w:r>
      <w:r w:rsidRPr="00DA4FFF">
        <w:rPr>
          <w:i/>
        </w:rPr>
        <w:t>já troquei o telhado, por causa de problemas”</w:t>
      </w:r>
      <w:r w:rsidRPr="00DA4FFF">
        <w:t>. Há ainda aqueles em que a casa não possui laje e enfrentam situação de desconforto causado por goteiras</w:t>
      </w:r>
      <w:r w:rsidRPr="00DA4FFF">
        <w:rPr>
          <w:i/>
        </w:rPr>
        <w:t>: “minha casa é de forro e, quando chove é um problema”</w:t>
      </w:r>
      <w:r w:rsidRPr="00DA4FFF">
        <w:t>, destacou o respondente 135, morado</w:t>
      </w:r>
      <w:r w:rsidR="00182117">
        <w:t xml:space="preserve">r do bairro Saturnino Pereira. </w:t>
      </w:r>
    </w:p>
    <w:p w:rsidR="00F47265" w:rsidRPr="00F6033F" w:rsidRDefault="00F47265" w:rsidP="00DA4FFF">
      <w:pPr>
        <w:jc w:val="both"/>
      </w:pPr>
    </w:p>
    <w:tbl>
      <w:tblPr>
        <w:tblW w:w="5000" w:type="pct"/>
        <w:tblBorders>
          <w:top w:val="single" w:sz="4" w:space="0" w:color="auto"/>
          <w:bottom w:val="sing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853"/>
        <w:gridCol w:w="1172"/>
        <w:gridCol w:w="1391"/>
        <w:gridCol w:w="908"/>
        <w:gridCol w:w="873"/>
        <w:gridCol w:w="934"/>
        <w:gridCol w:w="1079"/>
      </w:tblGrid>
      <w:tr w:rsidR="00DA4FFF" w:rsidRPr="00DA4FFF" w:rsidTr="00342C4E">
        <w:trPr>
          <w:trHeight w:val="262"/>
        </w:trPr>
        <w:tc>
          <w:tcPr>
            <w:tcW w:w="1549" w:type="pct"/>
            <w:vMerge w:val="restart"/>
            <w:tcBorders>
              <w:top w:val="single" w:sz="4" w:space="0" w:color="auto"/>
              <w:bottom w:val="single" w:sz="4" w:space="0" w:color="auto"/>
              <w:right w:val="dotted" w:sz="4" w:space="0" w:color="auto"/>
            </w:tcBorders>
            <w:shd w:val="clear" w:color="auto" w:fill="auto"/>
            <w:vAlign w:val="center"/>
            <w:hideMark/>
          </w:tcPr>
          <w:p w:rsidR="00DA4FFF" w:rsidRPr="00DA4FFF" w:rsidRDefault="00DA4FFF" w:rsidP="00DA4FFF">
            <w:pPr>
              <w:rPr>
                <w:sz w:val="20"/>
                <w:szCs w:val="20"/>
              </w:rPr>
            </w:pPr>
            <w:r w:rsidRPr="00DA4FFF">
              <w:rPr>
                <w:sz w:val="20"/>
                <w:szCs w:val="20"/>
              </w:rPr>
              <w:t>A casa apresentou rachaduras ou, goteiras?</w:t>
            </w:r>
          </w:p>
        </w:tc>
        <w:tc>
          <w:tcPr>
            <w:tcW w:w="1391" w:type="pct"/>
            <w:gridSpan w:val="2"/>
            <w:tcBorders>
              <w:top w:val="single" w:sz="4" w:space="0" w:color="auto"/>
              <w:left w:val="dotted" w:sz="4" w:space="0" w:color="auto"/>
              <w:bottom w:val="dotted" w:sz="4" w:space="0" w:color="auto"/>
              <w:right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 xml:space="preserve"> Frequência </w:t>
            </w:r>
          </w:p>
        </w:tc>
        <w:tc>
          <w:tcPr>
            <w:tcW w:w="2059" w:type="pct"/>
            <w:gridSpan w:val="4"/>
            <w:tcBorders>
              <w:top w:val="single" w:sz="4" w:space="0" w:color="auto"/>
              <w:left w:val="dotted" w:sz="4" w:space="0" w:color="auto"/>
              <w:bottom w:val="dotted" w:sz="4" w:space="0" w:color="auto"/>
            </w:tcBorders>
            <w:shd w:val="clear" w:color="auto" w:fill="auto"/>
            <w:noWrap/>
            <w:vAlign w:val="center"/>
            <w:hideMark/>
          </w:tcPr>
          <w:p w:rsidR="00DA4FFF" w:rsidRPr="00DA4FFF" w:rsidRDefault="00DA4FFF" w:rsidP="00DA4FFF">
            <w:pPr>
              <w:rPr>
                <w:sz w:val="20"/>
                <w:szCs w:val="20"/>
              </w:rPr>
            </w:pPr>
            <w:r w:rsidRPr="00DA4FFF">
              <w:rPr>
                <w:sz w:val="20"/>
                <w:szCs w:val="20"/>
              </w:rPr>
              <w:t xml:space="preserve"> Isso Implicou em custo para você?  </w:t>
            </w:r>
          </w:p>
        </w:tc>
      </w:tr>
      <w:tr w:rsidR="00DA4FFF" w:rsidRPr="00DA4FFF" w:rsidTr="00342C4E">
        <w:trPr>
          <w:trHeight w:val="262"/>
        </w:trPr>
        <w:tc>
          <w:tcPr>
            <w:tcW w:w="1549" w:type="pct"/>
            <w:vMerge/>
            <w:tcBorders>
              <w:top w:val="single" w:sz="4" w:space="0" w:color="auto"/>
              <w:bottom w:val="single" w:sz="4" w:space="0" w:color="auto"/>
            </w:tcBorders>
            <w:vAlign w:val="center"/>
            <w:hideMark/>
          </w:tcPr>
          <w:p w:rsidR="00DA4FFF" w:rsidRPr="00DA4FFF" w:rsidRDefault="00DA4FFF" w:rsidP="00DA4FFF">
            <w:pPr>
              <w:rPr>
                <w:sz w:val="20"/>
                <w:szCs w:val="20"/>
              </w:rPr>
            </w:pPr>
          </w:p>
        </w:tc>
        <w:tc>
          <w:tcPr>
            <w:tcW w:w="636" w:type="pct"/>
            <w:tcBorders>
              <w:top w:val="dotted" w:sz="4" w:space="0" w:color="auto"/>
              <w:bottom w:val="single" w:sz="4" w:space="0" w:color="auto"/>
              <w:right w:val="dotted" w:sz="4" w:space="0" w:color="auto"/>
            </w:tcBorders>
            <w:shd w:val="clear" w:color="auto" w:fill="auto"/>
            <w:noWrap/>
            <w:vAlign w:val="center"/>
            <w:hideMark/>
          </w:tcPr>
          <w:p w:rsidR="00DA4FFF" w:rsidRPr="00DA4FFF" w:rsidRDefault="00DA4FFF" w:rsidP="00DA4FFF">
            <w:pPr>
              <w:rPr>
                <w:sz w:val="20"/>
                <w:szCs w:val="20"/>
              </w:rPr>
            </w:pPr>
            <w:r w:rsidRPr="00DA4FFF">
              <w:rPr>
                <w:sz w:val="20"/>
                <w:szCs w:val="20"/>
              </w:rPr>
              <w:t>Absoluta</w:t>
            </w:r>
          </w:p>
        </w:tc>
        <w:tc>
          <w:tcPr>
            <w:tcW w:w="755" w:type="pct"/>
            <w:tcBorders>
              <w:top w:val="dotted" w:sz="4" w:space="0" w:color="auto"/>
              <w:left w:val="dotted" w:sz="4" w:space="0" w:color="auto"/>
              <w:bottom w:val="single" w:sz="4" w:space="0" w:color="auto"/>
              <w:right w:val="dotted" w:sz="4" w:space="0" w:color="auto"/>
            </w:tcBorders>
            <w:shd w:val="clear" w:color="auto" w:fill="auto"/>
            <w:vAlign w:val="center"/>
            <w:hideMark/>
          </w:tcPr>
          <w:p w:rsidR="00DA4FFF" w:rsidRPr="00DA4FFF" w:rsidRDefault="00DA4FFF" w:rsidP="00DA4FFF">
            <w:pPr>
              <w:jc w:val="center"/>
              <w:rPr>
                <w:sz w:val="20"/>
                <w:szCs w:val="20"/>
              </w:rPr>
            </w:pPr>
            <w:r w:rsidRPr="00DA4FFF">
              <w:rPr>
                <w:sz w:val="20"/>
                <w:szCs w:val="20"/>
              </w:rPr>
              <w:t>Relativa</w:t>
            </w:r>
          </w:p>
        </w:tc>
        <w:tc>
          <w:tcPr>
            <w:tcW w:w="967" w:type="pct"/>
            <w:gridSpan w:val="2"/>
            <w:tcBorders>
              <w:top w:val="dotted" w:sz="4" w:space="0" w:color="auto"/>
              <w:left w:val="dotted" w:sz="4" w:space="0" w:color="auto"/>
              <w:bottom w:val="single" w:sz="4" w:space="0" w:color="auto"/>
              <w:right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Sim</w:t>
            </w:r>
          </w:p>
        </w:tc>
        <w:tc>
          <w:tcPr>
            <w:tcW w:w="1092" w:type="pct"/>
            <w:gridSpan w:val="2"/>
            <w:tcBorders>
              <w:top w:val="dotted" w:sz="4" w:space="0" w:color="auto"/>
              <w:left w:val="dotted" w:sz="4" w:space="0" w:color="auto"/>
              <w:bottom w:val="single"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Não</w:t>
            </w:r>
          </w:p>
        </w:tc>
      </w:tr>
      <w:tr w:rsidR="00DA4FFF" w:rsidRPr="00DA4FFF" w:rsidTr="00342C4E">
        <w:trPr>
          <w:trHeight w:val="262"/>
        </w:trPr>
        <w:tc>
          <w:tcPr>
            <w:tcW w:w="1549" w:type="pct"/>
            <w:tcBorders>
              <w:top w:val="single" w:sz="4" w:space="0" w:color="auto"/>
              <w:bottom w:val="dotted" w:sz="4" w:space="0" w:color="auto"/>
            </w:tcBorders>
            <w:shd w:val="clear" w:color="auto" w:fill="auto"/>
            <w:vAlign w:val="center"/>
            <w:hideMark/>
          </w:tcPr>
          <w:p w:rsidR="00DA4FFF" w:rsidRPr="00DA4FFF" w:rsidRDefault="00DA4FFF" w:rsidP="00DA4FFF">
            <w:pPr>
              <w:rPr>
                <w:sz w:val="20"/>
                <w:szCs w:val="20"/>
              </w:rPr>
            </w:pPr>
            <w:r w:rsidRPr="00DA4FFF">
              <w:rPr>
                <w:sz w:val="20"/>
                <w:szCs w:val="20"/>
              </w:rPr>
              <w:t>Sim</w:t>
            </w:r>
          </w:p>
        </w:tc>
        <w:tc>
          <w:tcPr>
            <w:tcW w:w="636" w:type="pct"/>
            <w:tcBorders>
              <w:top w:val="single" w:sz="4" w:space="0" w:color="auto"/>
              <w:bottom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114</w:t>
            </w:r>
          </w:p>
        </w:tc>
        <w:tc>
          <w:tcPr>
            <w:tcW w:w="755" w:type="pct"/>
            <w:tcBorders>
              <w:top w:val="single" w:sz="4" w:space="0" w:color="auto"/>
              <w:bottom w:val="dotted" w:sz="4" w:space="0" w:color="auto"/>
            </w:tcBorders>
            <w:shd w:val="clear" w:color="auto" w:fill="auto"/>
            <w:vAlign w:val="center"/>
            <w:hideMark/>
          </w:tcPr>
          <w:p w:rsidR="00DA4FFF" w:rsidRPr="00DA4FFF" w:rsidRDefault="00DA4FFF" w:rsidP="00DA4FFF">
            <w:pPr>
              <w:jc w:val="center"/>
              <w:rPr>
                <w:sz w:val="20"/>
                <w:szCs w:val="20"/>
              </w:rPr>
            </w:pPr>
            <w:r w:rsidRPr="00DA4FFF">
              <w:rPr>
                <w:sz w:val="20"/>
                <w:szCs w:val="20"/>
              </w:rPr>
              <w:t>49,56%</w:t>
            </w:r>
          </w:p>
        </w:tc>
        <w:tc>
          <w:tcPr>
            <w:tcW w:w="493" w:type="pct"/>
            <w:tcBorders>
              <w:top w:val="single" w:sz="4" w:space="0" w:color="auto"/>
              <w:bottom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73</w:t>
            </w:r>
          </w:p>
        </w:tc>
        <w:tc>
          <w:tcPr>
            <w:tcW w:w="474" w:type="pct"/>
            <w:tcBorders>
              <w:top w:val="single" w:sz="4" w:space="0" w:color="auto"/>
              <w:bottom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64,03%</w:t>
            </w:r>
          </w:p>
        </w:tc>
        <w:tc>
          <w:tcPr>
            <w:tcW w:w="507" w:type="pct"/>
            <w:tcBorders>
              <w:top w:val="single" w:sz="4" w:space="0" w:color="auto"/>
              <w:bottom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41</w:t>
            </w:r>
          </w:p>
        </w:tc>
        <w:tc>
          <w:tcPr>
            <w:tcW w:w="585" w:type="pct"/>
            <w:tcBorders>
              <w:top w:val="single" w:sz="4" w:space="0" w:color="auto"/>
              <w:bottom w:val="dotted"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35,97%</w:t>
            </w:r>
          </w:p>
        </w:tc>
      </w:tr>
      <w:tr w:rsidR="00DA4FFF" w:rsidRPr="00DA4FFF" w:rsidTr="00F6033F">
        <w:trPr>
          <w:trHeight w:val="262"/>
        </w:trPr>
        <w:tc>
          <w:tcPr>
            <w:tcW w:w="1549" w:type="pct"/>
            <w:tcBorders>
              <w:top w:val="dotted" w:sz="4" w:space="0" w:color="auto"/>
              <w:bottom w:val="single" w:sz="4" w:space="0" w:color="auto"/>
            </w:tcBorders>
            <w:shd w:val="clear" w:color="auto" w:fill="auto"/>
            <w:vAlign w:val="center"/>
            <w:hideMark/>
          </w:tcPr>
          <w:p w:rsidR="00DA4FFF" w:rsidRPr="00DA4FFF" w:rsidRDefault="00DA4FFF" w:rsidP="00DA4FFF">
            <w:pPr>
              <w:rPr>
                <w:sz w:val="20"/>
                <w:szCs w:val="20"/>
              </w:rPr>
            </w:pPr>
            <w:r w:rsidRPr="00DA4FFF">
              <w:rPr>
                <w:sz w:val="20"/>
                <w:szCs w:val="20"/>
              </w:rPr>
              <w:t>Não</w:t>
            </w:r>
          </w:p>
        </w:tc>
        <w:tc>
          <w:tcPr>
            <w:tcW w:w="636" w:type="pct"/>
            <w:tcBorders>
              <w:top w:val="dotted" w:sz="4" w:space="0" w:color="auto"/>
              <w:bottom w:val="single" w:sz="4" w:space="0" w:color="auto"/>
            </w:tcBorders>
            <w:shd w:val="clear" w:color="auto" w:fill="auto"/>
            <w:noWrap/>
            <w:vAlign w:val="center"/>
            <w:hideMark/>
          </w:tcPr>
          <w:p w:rsidR="00DA4FFF" w:rsidRPr="00DA4FFF" w:rsidRDefault="00DA4FFF" w:rsidP="00DA4FFF">
            <w:pPr>
              <w:jc w:val="center"/>
              <w:rPr>
                <w:sz w:val="20"/>
                <w:szCs w:val="20"/>
              </w:rPr>
            </w:pPr>
            <w:r w:rsidRPr="00DA4FFF">
              <w:rPr>
                <w:sz w:val="20"/>
                <w:szCs w:val="20"/>
              </w:rPr>
              <w:t>116</w:t>
            </w:r>
          </w:p>
        </w:tc>
        <w:tc>
          <w:tcPr>
            <w:tcW w:w="755" w:type="pct"/>
            <w:tcBorders>
              <w:top w:val="dotted" w:sz="4" w:space="0" w:color="auto"/>
              <w:bottom w:val="single" w:sz="4" w:space="0" w:color="auto"/>
            </w:tcBorders>
            <w:shd w:val="clear" w:color="auto" w:fill="auto"/>
            <w:vAlign w:val="center"/>
            <w:hideMark/>
          </w:tcPr>
          <w:p w:rsidR="00DA4FFF" w:rsidRPr="00DA4FFF" w:rsidRDefault="00DA4FFF" w:rsidP="00DA4FFF">
            <w:pPr>
              <w:jc w:val="center"/>
              <w:rPr>
                <w:sz w:val="20"/>
                <w:szCs w:val="20"/>
              </w:rPr>
            </w:pPr>
            <w:r w:rsidRPr="00DA4FFF">
              <w:rPr>
                <w:sz w:val="20"/>
                <w:szCs w:val="20"/>
              </w:rPr>
              <w:t>50,43%</w:t>
            </w:r>
          </w:p>
        </w:tc>
        <w:tc>
          <w:tcPr>
            <w:tcW w:w="493" w:type="pct"/>
            <w:tcBorders>
              <w:top w:val="dotted" w:sz="4" w:space="0" w:color="auto"/>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474" w:type="pct"/>
            <w:tcBorders>
              <w:top w:val="dotted" w:sz="4" w:space="0" w:color="auto"/>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507" w:type="pct"/>
            <w:tcBorders>
              <w:top w:val="dotted" w:sz="4" w:space="0" w:color="auto"/>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585" w:type="pct"/>
            <w:tcBorders>
              <w:top w:val="dotted" w:sz="4" w:space="0" w:color="auto"/>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r>
      <w:tr w:rsidR="00F6033F" w:rsidRPr="00DA4FFF" w:rsidTr="00F6033F">
        <w:trPr>
          <w:trHeight w:val="262"/>
        </w:trPr>
        <w:tc>
          <w:tcPr>
            <w:tcW w:w="5000" w:type="pct"/>
            <w:gridSpan w:val="7"/>
            <w:tcBorders>
              <w:top w:val="single" w:sz="4" w:space="0" w:color="auto"/>
              <w:bottom w:val="nil"/>
            </w:tcBorders>
            <w:shd w:val="clear" w:color="auto" w:fill="auto"/>
            <w:vAlign w:val="center"/>
          </w:tcPr>
          <w:p w:rsidR="00F6033F" w:rsidRPr="00DA4FFF" w:rsidRDefault="00F6033F" w:rsidP="00F6033F">
            <w:pPr>
              <w:rPr>
                <w:sz w:val="20"/>
                <w:szCs w:val="20"/>
              </w:rPr>
            </w:pPr>
            <w:r w:rsidRPr="00DA4FFF">
              <w:rPr>
                <w:sz w:val="20"/>
                <w:szCs w:val="20"/>
              </w:rPr>
              <w:t>Fonte</w:t>
            </w:r>
            <w:r>
              <w:rPr>
                <w:sz w:val="20"/>
                <w:szCs w:val="20"/>
              </w:rPr>
              <w:t>: Resultados da Pesquisa (2017)</w:t>
            </w:r>
          </w:p>
        </w:tc>
      </w:tr>
    </w:tbl>
    <w:p w:rsidR="00342C4E" w:rsidRDefault="00342C4E" w:rsidP="00F6033F">
      <w:pPr>
        <w:spacing w:before="120" w:after="120"/>
        <w:jc w:val="center"/>
        <w:rPr>
          <w:sz w:val="20"/>
          <w:szCs w:val="20"/>
        </w:rPr>
      </w:pPr>
      <w:r w:rsidRPr="00DA4FFF">
        <w:rPr>
          <w:sz w:val="20"/>
          <w:szCs w:val="20"/>
        </w:rPr>
        <w:t xml:space="preserve">Tabela </w:t>
      </w:r>
      <w:r w:rsidRPr="00DA4FFF">
        <w:rPr>
          <w:sz w:val="20"/>
          <w:szCs w:val="20"/>
        </w:rPr>
        <w:fldChar w:fldCharType="begin"/>
      </w:r>
      <w:r w:rsidRPr="00DA4FFF">
        <w:rPr>
          <w:sz w:val="20"/>
          <w:szCs w:val="20"/>
        </w:rPr>
        <w:instrText xml:space="preserve"> SEQ Tabela \* ARABIC </w:instrText>
      </w:r>
      <w:r w:rsidRPr="00DA4FFF">
        <w:rPr>
          <w:sz w:val="20"/>
          <w:szCs w:val="20"/>
        </w:rPr>
        <w:fldChar w:fldCharType="separate"/>
      </w:r>
      <w:r w:rsidRPr="00DA4FFF">
        <w:rPr>
          <w:noProof/>
          <w:sz w:val="20"/>
          <w:szCs w:val="20"/>
        </w:rPr>
        <w:t>5</w:t>
      </w:r>
      <w:r w:rsidRPr="00DA4FFF">
        <w:rPr>
          <w:noProof/>
          <w:sz w:val="20"/>
          <w:szCs w:val="20"/>
        </w:rPr>
        <w:fldChar w:fldCharType="end"/>
      </w:r>
      <w:r w:rsidRPr="00DA4FFF">
        <w:rPr>
          <w:sz w:val="20"/>
          <w:szCs w:val="20"/>
        </w:rPr>
        <w:t>- Problemas Detectados X Implicação em Custo</w:t>
      </w:r>
    </w:p>
    <w:p w:rsidR="00DA4FFF" w:rsidRPr="00DA4FFF" w:rsidRDefault="00DA4FFF" w:rsidP="00DA4FFF">
      <w:pPr>
        <w:jc w:val="both"/>
        <w:rPr>
          <w:sz w:val="20"/>
          <w:szCs w:val="20"/>
        </w:rPr>
      </w:pPr>
    </w:p>
    <w:p w:rsidR="00DA4FFF" w:rsidRPr="00DA4FFF" w:rsidRDefault="00DA4FFF" w:rsidP="00DA4FFF">
      <w:pPr>
        <w:spacing w:after="120"/>
        <w:jc w:val="both"/>
      </w:pPr>
      <w:r w:rsidRPr="00DA4FFF">
        <w:t xml:space="preserve">Nota-se que normalmente surgem problemas (49,13%), em que se destaca a implicação em custos para 64,03% destes. No entanto, 35,97% afirmaram que a construtora responsável pela obra se prontificou a solucionar o problema, como ilustrado na Tabela 5. </w:t>
      </w:r>
    </w:p>
    <w:p w:rsidR="00DA4FFF" w:rsidRPr="00DA4FFF" w:rsidRDefault="00DA4FFF" w:rsidP="00DA4FFF">
      <w:pPr>
        <w:spacing w:after="120"/>
        <w:jc w:val="both"/>
      </w:pPr>
      <w:r w:rsidRPr="00DA4FFF">
        <w:t xml:space="preserve">Contudo, apenas 8,70% declararam ter intenção de mudar em até </w:t>
      </w:r>
      <w:proofErr w:type="gramStart"/>
      <w:r w:rsidRPr="00DA4FFF">
        <w:t>2</w:t>
      </w:r>
      <w:proofErr w:type="gramEnd"/>
      <w:r w:rsidRPr="00DA4FFF">
        <w:t xml:space="preserve"> anos, dando indícios de que normalmente se sentem confortáveis: </w:t>
      </w:r>
      <w:r w:rsidRPr="00DA4FFF">
        <w:rPr>
          <w:i/>
        </w:rPr>
        <w:t>“Apesar dos problemas, não considero que foi mau negócio, pois pagava aluguel e ainda temos que considerar a valorização do imóvel</w:t>
      </w:r>
      <w:r w:rsidRPr="00DA4FFF">
        <w:t>”, ressaltou o respondente 219.</w:t>
      </w:r>
    </w:p>
    <w:p w:rsidR="00182117" w:rsidRDefault="00DA4FFF" w:rsidP="00416DB4">
      <w:pPr>
        <w:spacing w:after="120"/>
        <w:jc w:val="both"/>
      </w:pPr>
      <w:r w:rsidRPr="00DA4FFF">
        <w:t xml:space="preserve">No tocante à reforma, verificou-se que 77,83% fizeram algum tipo de melhoria no imóvel, conforme Tabela 6. O item segurança foi o mais relevante, pelo fato de que maioria dos imóveis é entregue sem muro, seguido por ampliação e melhorias no imóvel. Somente 7,82% das moradias foram reformadas em virtude de problemas detectados. Houve casos que a reforma foi motivada por mais de um item. </w:t>
      </w:r>
      <w:bookmarkEnd w:id="25"/>
    </w:p>
    <w:p w:rsidR="00182117" w:rsidRPr="000C6BD2" w:rsidRDefault="00182117" w:rsidP="00DA4FFF">
      <w:pPr>
        <w:jc w:val="both"/>
      </w:pPr>
    </w:p>
    <w:tbl>
      <w:tblPr>
        <w:tblW w:w="4964" w:type="pct"/>
        <w:tblBorders>
          <w:top w:val="single" w:sz="4" w:space="0" w:color="auto"/>
          <w:bottom w:val="sing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548"/>
        <w:gridCol w:w="819"/>
        <w:gridCol w:w="419"/>
        <w:gridCol w:w="834"/>
        <w:gridCol w:w="421"/>
        <w:gridCol w:w="849"/>
        <w:gridCol w:w="465"/>
        <w:gridCol w:w="1128"/>
        <w:gridCol w:w="847"/>
        <w:gridCol w:w="1094"/>
        <w:gridCol w:w="346"/>
        <w:gridCol w:w="817"/>
      </w:tblGrid>
      <w:tr w:rsidR="00DA4FFF" w:rsidRPr="00DA4FFF" w:rsidTr="00F6033F">
        <w:trPr>
          <w:trHeight w:val="316"/>
        </w:trPr>
        <w:tc>
          <w:tcPr>
            <w:tcW w:w="1053" w:type="pct"/>
            <w:gridSpan w:val="3"/>
            <w:vMerge w:val="restart"/>
            <w:tcBorders>
              <w:top w:val="single" w:sz="4" w:space="0" w:color="auto"/>
              <w:bottom w:val="dotted" w:sz="4" w:space="0" w:color="auto"/>
              <w:right w:val="dotted" w:sz="4" w:space="0" w:color="auto"/>
            </w:tcBorders>
            <w:shd w:val="clear" w:color="auto" w:fill="auto"/>
            <w:vAlign w:val="bottom"/>
          </w:tcPr>
          <w:p w:rsidR="00DA4FFF" w:rsidRPr="00DA4FFF" w:rsidRDefault="00DA4FFF" w:rsidP="00DA4FFF">
            <w:pPr>
              <w:jc w:val="center"/>
              <w:rPr>
                <w:sz w:val="20"/>
                <w:szCs w:val="20"/>
              </w:rPr>
            </w:pPr>
          </w:p>
          <w:p w:rsidR="00DA4FFF" w:rsidRPr="00DA4FFF" w:rsidRDefault="00DA4FFF" w:rsidP="00DA4FFF">
            <w:pPr>
              <w:jc w:val="center"/>
              <w:rPr>
                <w:sz w:val="20"/>
                <w:szCs w:val="20"/>
              </w:rPr>
            </w:pPr>
            <w:r w:rsidRPr="00DA4FFF">
              <w:rPr>
                <w:sz w:val="20"/>
                <w:szCs w:val="20"/>
              </w:rPr>
              <w:t>Imóvel com alguma reforma?</w:t>
            </w:r>
          </w:p>
        </w:tc>
        <w:tc>
          <w:tcPr>
            <w:tcW w:w="3947" w:type="pct"/>
            <w:gridSpan w:val="10"/>
            <w:tcBorders>
              <w:top w:val="single" w:sz="4" w:space="0" w:color="auto"/>
              <w:left w:val="dotted" w:sz="4" w:space="0" w:color="auto"/>
              <w:bottom w:val="dotted" w:sz="4" w:space="0" w:color="auto"/>
            </w:tcBorders>
            <w:shd w:val="clear" w:color="auto" w:fill="auto"/>
            <w:noWrap/>
            <w:vAlign w:val="bottom"/>
          </w:tcPr>
          <w:p w:rsidR="00DA4FFF" w:rsidRPr="00DA4FFF" w:rsidRDefault="00DA4FFF" w:rsidP="00DA4FFF">
            <w:pPr>
              <w:jc w:val="center"/>
              <w:rPr>
                <w:sz w:val="20"/>
                <w:szCs w:val="20"/>
              </w:rPr>
            </w:pPr>
            <w:r w:rsidRPr="00DA4FFF">
              <w:rPr>
                <w:sz w:val="20"/>
                <w:szCs w:val="20"/>
              </w:rPr>
              <w:t>O que motivou a reforma, no imóvel?</w:t>
            </w:r>
          </w:p>
        </w:tc>
      </w:tr>
      <w:tr w:rsidR="00DA4FFF" w:rsidRPr="00DA4FFF" w:rsidTr="00F6033F">
        <w:trPr>
          <w:trHeight w:val="243"/>
        </w:trPr>
        <w:tc>
          <w:tcPr>
            <w:tcW w:w="1053" w:type="pct"/>
            <w:gridSpan w:val="3"/>
            <w:vMerge/>
            <w:shd w:val="clear" w:color="auto" w:fill="auto"/>
            <w:vAlign w:val="bottom"/>
            <w:hideMark/>
          </w:tcPr>
          <w:p w:rsidR="00DA4FFF" w:rsidRPr="00DA4FFF" w:rsidRDefault="00DA4FFF" w:rsidP="00DA4FFF">
            <w:pPr>
              <w:jc w:val="center"/>
              <w:rPr>
                <w:sz w:val="20"/>
                <w:szCs w:val="20"/>
              </w:rPr>
            </w:pPr>
          </w:p>
        </w:tc>
        <w:tc>
          <w:tcPr>
            <w:tcW w:w="685" w:type="pct"/>
            <w:gridSpan w:val="2"/>
            <w:shd w:val="clear" w:color="auto" w:fill="auto"/>
            <w:noWrap/>
            <w:vAlign w:val="bottom"/>
            <w:hideMark/>
          </w:tcPr>
          <w:p w:rsidR="00DA4FFF" w:rsidRPr="00DA4FFF" w:rsidRDefault="00DA4FFF" w:rsidP="00DA4FFF">
            <w:pPr>
              <w:jc w:val="center"/>
              <w:rPr>
                <w:sz w:val="20"/>
                <w:szCs w:val="20"/>
              </w:rPr>
            </w:pPr>
            <w:r w:rsidRPr="00DA4FFF">
              <w:rPr>
                <w:sz w:val="20"/>
                <w:szCs w:val="20"/>
              </w:rPr>
              <w:t>Segurança</w:t>
            </w:r>
          </w:p>
        </w:tc>
        <w:tc>
          <w:tcPr>
            <w:tcW w:w="694" w:type="pct"/>
            <w:gridSpan w:val="2"/>
            <w:shd w:val="clear" w:color="auto" w:fill="auto"/>
            <w:noWrap/>
            <w:vAlign w:val="bottom"/>
            <w:hideMark/>
          </w:tcPr>
          <w:p w:rsidR="00DA4FFF" w:rsidRPr="00DA4FFF" w:rsidRDefault="00DA4FFF" w:rsidP="00DA4FFF">
            <w:pPr>
              <w:jc w:val="center"/>
              <w:rPr>
                <w:sz w:val="20"/>
                <w:szCs w:val="20"/>
              </w:rPr>
            </w:pPr>
            <w:r w:rsidRPr="00DA4FFF">
              <w:rPr>
                <w:sz w:val="20"/>
                <w:szCs w:val="20"/>
              </w:rPr>
              <w:t>Ampliação</w:t>
            </w:r>
          </w:p>
        </w:tc>
        <w:tc>
          <w:tcPr>
            <w:tcW w:w="871" w:type="pct"/>
            <w:gridSpan w:val="2"/>
            <w:shd w:val="clear" w:color="auto" w:fill="auto"/>
            <w:noWrap/>
            <w:vAlign w:val="bottom"/>
            <w:hideMark/>
          </w:tcPr>
          <w:p w:rsidR="00DA4FFF" w:rsidRPr="00DA4FFF" w:rsidRDefault="00DA4FFF" w:rsidP="00DA4FFF">
            <w:pPr>
              <w:jc w:val="center"/>
              <w:rPr>
                <w:sz w:val="20"/>
                <w:szCs w:val="20"/>
              </w:rPr>
            </w:pPr>
            <w:r w:rsidRPr="00DA4FFF">
              <w:rPr>
                <w:sz w:val="20"/>
                <w:szCs w:val="20"/>
              </w:rPr>
              <w:t>Reforma / Melhoria</w:t>
            </w:r>
          </w:p>
        </w:tc>
        <w:tc>
          <w:tcPr>
            <w:tcW w:w="1061" w:type="pct"/>
            <w:gridSpan w:val="2"/>
            <w:shd w:val="clear" w:color="auto" w:fill="auto"/>
            <w:noWrap/>
            <w:vAlign w:val="bottom"/>
            <w:hideMark/>
          </w:tcPr>
          <w:p w:rsidR="00DA4FFF" w:rsidRPr="00DA4FFF" w:rsidRDefault="00DA4FFF" w:rsidP="00DA4FFF">
            <w:pPr>
              <w:jc w:val="center"/>
              <w:rPr>
                <w:sz w:val="20"/>
                <w:szCs w:val="20"/>
              </w:rPr>
            </w:pPr>
            <w:r w:rsidRPr="00DA4FFF">
              <w:rPr>
                <w:sz w:val="20"/>
                <w:szCs w:val="20"/>
              </w:rPr>
              <w:t>Problemas detectados</w:t>
            </w:r>
          </w:p>
        </w:tc>
        <w:tc>
          <w:tcPr>
            <w:tcW w:w="635" w:type="pct"/>
            <w:gridSpan w:val="2"/>
          </w:tcPr>
          <w:p w:rsidR="00DA4FFF" w:rsidRPr="00DA4FFF" w:rsidRDefault="00DA4FFF" w:rsidP="00DA4FFF">
            <w:pPr>
              <w:jc w:val="center"/>
              <w:rPr>
                <w:sz w:val="20"/>
                <w:szCs w:val="20"/>
              </w:rPr>
            </w:pPr>
            <w:r w:rsidRPr="00DA4FFF">
              <w:rPr>
                <w:sz w:val="20"/>
                <w:szCs w:val="20"/>
              </w:rPr>
              <w:t>Outros</w:t>
            </w:r>
          </w:p>
        </w:tc>
      </w:tr>
      <w:tr w:rsidR="00DA4FFF" w:rsidRPr="00DA4FFF" w:rsidTr="00F6033F">
        <w:trPr>
          <w:trHeight w:val="211"/>
        </w:trPr>
        <w:tc>
          <w:tcPr>
            <w:tcW w:w="305" w:type="pct"/>
            <w:shd w:val="clear" w:color="000000" w:fill="FFFFFF"/>
            <w:vAlign w:val="center"/>
            <w:hideMark/>
          </w:tcPr>
          <w:p w:rsidR="00DA4FFF" w:rsidRPr="00DA4FFF" w:rsidRDefault="00DA4FFF" w:rsidP="00DA4FFF">
            <w:pPr>
              <w:rPr>
                <w:sz w:val="20"/>
                <w:szCs w:val="20"/>
              </w:rPr>
            </w:pPr>
            <w:r w:rsidRPr="00DA4FFF">
              <w:rPr>
                <w:sz w:val="20"/>
                <w:szCs w:val="20"/>
              </w:rPr>
              <w:t>Sim</w:t>
            </w:r>
          </w:p>
        </w:tc>
        <w:tc>
          <w:tcPr>
            <w:tcW w:w="300" w:type="pct"/>
            <w:shd w:val="clear" w:color="000000" w:fill="FFFFFF"/>
            <w:vAlign w:val="center"/>
            <w:hideMark/>
          </w:tcPr>
          <w:p w:rsidR="00DA4FFF" w:rsidRPr="00DA4FFF" w:rsidRDefault="00DA4FFF" w:rsidP="00DA4FFF">
            <w:pPr>
              <w:jc w:val="center"/>
              <w:rPr>
                <w:sz w:val="20"/>
                <w:szCs w:val="20"/>
              </w:rPr>
            </w:pPr>
            <w:r w:rsidRPr="00DA4FFF">
              <w:rPr>
                <w:sz w:val="20"/>
                <w:szCs w:val="20"/>
              </w:rPr>
              <w:t>179</w:t>
            </w:r>
          </w:p>
        </w:tc>
        <w:tc>
          <w:tcPr>
            <w:tcW w:w="448" w:type="pct"/>
            <w:shd w:val="clear" w:color="000000" w:fill="FFFFFF"/>
            <w:vAlign w:val="center"/>
            <w:hideMark/>
          </w:tcPr>
          <w:p w:rsidR="00DA4FFF" w:rsidRPr="00DA4FFF" w:rsidRDefault="00DA4FFF" w:rsidP="00DA4FFF">
            <w:pPr>
              <w:jc w:val="center"/>
              <w:rPr>
                <w:sz w:val="20"/>
                <w:szCs w:val="20"/>
              </w:rPr>
            </w:pPr>
            <w:r w:rsidRPr="00DA4FFF">
              <w:rPr>
                <w:sz w:val="20"/>
                <w:szCs w:val="20"/>
              </w:rPr>
              <w:t>77,83%</w:t>
            </w:r>
          </w:p>
        </w:tc>
        <w:tc>
          <w:tcPr>
            <w:tcW w:w="229" w:type="pct"/>
            <w:shd w:val="clear" w:color="000000" w:fill="FFFFFF"/>
            <w:vAlign w:val="center"/>
            <w:hideMark/>
          </w:tcPr>
          <w:p w:rsidR="00DA4FFF" w:rsidRPr="00DA4FFF" w:rsidRDefault="00DA4FFF" w:rsidP="00DA4FFF">
            <w:pPr>
              <w:jc w:val="center"/>
              <w:rPr>
                <w:sz w:val="20"/>
                <w:szCs w:val="20"/>
              </w:rPr>
            </w:pPr>
            <w:r w:rsidRPr="00DA4FFF">
              <w:rPr>
                <w:sz w:val="20"/>
                <w:szCs w:val="20"/>
              </w:rPr>
              <w:t>95</w:t>
            </w:r>
          </w:p>
        </w:tc>
        <w:tc>
          <w:tcPr>
            <w:tcW w:w="456" w:type="pct"/>
            <w:shd w:val="clear" w:color="000000" w:fill="FFFFFF"/>
            <w:vAlign w:val="center"/>
            <w:hideMark/>
          </w:tcPr>
          <w:p w:rsidR="00DA4FFF" w:rsidRPr="00DA4FFF" w:rsidRDefault="00DA4FFF" w:rsidP="00DA4FFF">
            <w:pPr>
              <w:jc w:val="center"/>
              <w:rPr>
                <w:sz w:val="20"/>
                <w:szCs w:val="20"/>
              </w:rPr>
            </w:pPr>
            <w:r w:rsidRPr="00DA4FFF">
              <w:rPr>
                <w:sz w:val="20"/>
                <w:szCs w:val="20"/>
              </w:rPr>
              <w:t>53,07%</w:t>
            </w:r>
          </w:p>
        </w:tc>
        <w:tc>
          <w:tcPr>
            <w:tcW w:w="230" w:type="pct"/>
            <w:shd w:val="clear" w:color="000000" w:fill="FFFFFF"/>
            <w:vAlign w:val="center"/>
            <w:hideMark/>
          </w:tcPr>
          <w:p w:rsidR="00DA4FFF" w:rsidRPr="00DA4FFF" w:rsidRDefault="00DA4FFF" w:rsidP="00DA4FFF">
            <w:pPr>
              <w:jc w:val="center"/>
              <w:rPr>
                <w:sz w:val="20"/>
                <w:szCs w:val="20"/>
              </w:rPr>
            </w:pPr>
            <w:r w:rsidRPr="00DA4FFF">
              <w:rPr>
                <w:sz w:val="20"/>
                <w:szCs w:val="20"/>
              </w:rPr>
              <w:t>70</w:t>
            </w:r>
          </w:p>
        </w:tc>
        <w:tc>
          <w:tcPr>
            <w:tcW w:w="464" w:type="pct"/>
            <w:shd w:val="clear" w:color="000000" w:fill="FFFFFF"/>
            <w:vAlign w:val="center"/>
            <w:hideMark/>
          </w:tcPr>
          <w:p w:rsidR="00DA4FFF" w:rsidRPr="00DA4FFF" w:rsidRDefault="00DA4FFF" w:rsidP="00DA4FFF">
            <w:pPr>
              <w:jc w:val="center"/>
              <w:rPr>
                <w:sz w:val="20"/>
                <w:szCs w:val="20"/>
              </w:rPr>
            </w:pPr>
            <w:r w:rsidRPr="00DA4FFF">
              <w:rPr>
                <w:sz w:val="20"/>
                <w:szCs w:val="20"/>
              </w:rPr>
              <w:t>39,11%</w:t>
            </w:r>
          </w:p>
        </w:tc>
        <w:tc>
          <w:tcPr>
            <w:tcW w:w="254" w:type="pct"/>
            <w:shd w:val="clear" w:color="000000" w:fill="FFFFFF"/>
            <w:vAlign w:val="center"/>
            <w:hideMark/>
          </w:tcPr>
          <w:p w:rsidR="00DA4FFF" w:rsidRPr="00DA4FFF" w:rsidRDefault="00DA4FFF" w:rsidP="00DA4FFF">
            <w:pPr>
              <w:jc w:val="center"/>
              <w:rPr>
                <w:sz w:val="20"/>
                <w:szCs w:val="20"/>
              </w:rPr>
            </w:pPr>
            <w:r w:rsidRPr="00DA4FFF">
              <w:rPr>
                <w:sz w:val="20"/>
                <w:szCs w:val="20"/>
              </w:rPr>
              <w:t>86</w:t>
            </w:r>
          </w:p>
        </w:tc>
        <w:tc>
          <w:tcPr>
            <w:tcW w:w="617" w:type="pct"/>
            <w:shd w:val="clear" w:color="000000" w:fill="FFFFFF"/>
            <w:vAlign w:val="center"/>
            <w:hideMark/>
          </w:tcPr>
          <w:p w:rsidR="00DA4FFF" w:rsidRPr="00DA4FFF" w:rsidRDefault="00DA4FFF" w:rsidP="00DA4FFF">
            <w:pPr>
              <w:jc w:val="center"/>
              <w:rPr>
                <w:sz w:val="20"/>
                <w:szCs w:val="20"/>
              </w:rPr>
            </w:pPr>
            <w:r w:rsidRPr="00DA4FFF">
              <w:rPr>
                <w:sz w:val="20"/>
                <w:szCs w:val="20"/>
              </w:rPr>
              <w:t>48,04%</w:t>
            </w:r>
          </w:p>
        </w:tc>
        <w:tc>
          <w:tcPr>
            <w:tcW w:w="463" w:type="pct"/>
            <w:shd w:val="clear" w:color="000000" w:fill="FFFFFF"/>
            <w:vAlign w:val="center"/>
            <w:hideMark/>
          </w:tcPr>
          <w:p w:rsidR="00DA4FFF" w:rsidRPr="00DA4FFF" w:rsidRDefault="00DA4FFF" w:rsidP="00DA4FFF">
            <w:pPr>
              <w:jc w:val="center"/>
              <w:rPr>
                <w:sz w:val="20"/>
                <w:szCs w:val="20"/>
              </w:rPr>
            </w:pPr>
            <w:r w:rsidRPr="00DA4FFF">
              <w:rPr>
                <w:sz w:val="20"/>
                <w:szCs w:val="20"/>
              </w:rPr>
              <w:t>14</w:t>
            </w:r>
          </w:p>
        </w:tc>
        <w:tc>
          <w:tcPr>
            <w:tcW w:w="598" w:type="pct"/>
            <w:shd w:val="clear" w:color="000000" w:fill="FFFFFF"/>
            <w:vAlign w:val="center"/>
            <w:hideMark/>
          </w:tcPr>
          <w:p w:rsidR="00DA4FFF" w:rsidRPr="00DA4FFF" w:rsidRDefault="00DA4FFF" w:rsidP="00DA4FFF">
            <w:pPr>
              <w:jc w:val="center"/>
              <w:rPr>
                <w:sz w:val="20"/>
                <w:szCs w:val="20"/>
              </w:rPr>
            </w:pPr>
            <w:r w:rsidRPr="00DA4FFF">
              <w:rPr>
                <w:sz w:val="20"/>
                <w:szCs w:val="20"/>
              </w:rPr>
              <w:t>7,82%</w:t>
            </w:r>
          </w:p>
        </w:tc>
        <w:tc>
          <w:tcPr>
            <w:tcW w:w="189" w:type="pct"/>
            <w:shd w:val="clear" w:color="000000" w:fill="FFFFFF"/>
          </w:tcPr>
          <w:p w:rsidR="00DA4FFF" w:rsidRPr="00DA4FFF" w:rsidRDefault="00DA4FFF" w:rsidP="00DA4FFF">
            <w:pPr>
              <w:jc w:val="center"/>
              <w:rPr>
                <w:sz w:val="20"/>
                <w:szCs w:val="20"/>
              </w:rPr>
            </w:pPr>
            <w:proofErr w:type="gramStart"/>
            <w:r w:rsidRPr="00DA4FFF">
              <w:rPr>
                <w:sz w:val="20"/>
                <w:szCs w:val="20"/>
              </w:rPr>
              <w:t>1</w:t>
            </w:r>
            <w:proofErr w:type="gramEnd"/>
          </w:p>
        </w:tc>
        <w:tc>
          <w:tcPr>
            <w:tcW w:w="446" w:type="pct"/>
            <w:shd w:val="clear" w:color="000000" w:fill="FFFFFF"/>
          </w:tcPr>
          <w:p w:rsidR="00DA4FFF" w:rsidRPr="00DA4FFF" w:rsidRDefault="00DA4FFF" w:rsidP="00DA4FFF">
            <w:pPr>
              <w:jc w:val="center"/>
              <w:rPr>
                <w:sz w:val="20"/>
                <w:szCs w:val="20"/>
              </w:rPr>
            </w:pPr>
            <w:r w:rsidRPr="00DA4FFF">
              <w:rPr>
                <w:sz w:val="20"/>
                <w:szCs w:val="20"/>
              </w:rPr>
              <w:t>0,56%</w:t>
            </w:r>
          </w:p>
        </w:tc>
      </w:tr>
      <w:tr w:rsidR="00DA4FFF" w:rsidRPr="00DA4FFF" w:rsidTr="00F6033F">
        <w:trPr>
          <w:trHeight w:val="264"/>
        </w:trPr>
        <w:tc>
          <w:tcPr>
            <w:tcW w:w="305" w:type="pct"/>
            <w:tcBorders>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Não</w:t>
            </w:r>
          </w:p>
        </w:tc>
        <w:tc>
          <w:tcPr>
            <w:tcW w:w="300" w:type="pct"/>
            <w:tcBorders>
              <w:bottom w:val="single" w:sz="4" w:space="0" w:color="auto"/>
            </w:tcBorders>
            <w:shd w:val="clear" w:color="auto" w:fill="auto"/>
            <w:noWrap/>
            <w:vAlign w:val="bottom"/>
            <w:hideMark/>
          </w:tcPr>
          <w:p w:rsidR="00DA4FFF" w:rsidRPr="00DA4FFF" w:rsidRDefault="00DA4FFF" w:rsidP="00DA4FFF">
            <w:pPr>
              <w:jc w:val="center"/>
              <w:rPr>
                <w:sz w:val="20"/>
                <w:szCs w:val="20"/>
              </w:rPr>
            </w:pPr>
            <w:r w:rsidRPr="00DA4FFF">
              <w:rPr>
                <w:sz w:val="20"/>
                <w:szCs w:val="20"/>
              </w:rPr>
              <w:t>51</w:t>
            </w:r>
          </w:p>
        </w:tc>
        <w:tc>
          <w:tcPr>
            <w:tcW w:w="448" w:type="pct"/>
            <w:tcBorders>
              <w:bottom w:val="single" w:sz="4" w:space="0" w:color="auto"/>
            </w:tcBorders>
            <w:shd w:val="clear" w:color="000000" w:fill="FFFFFF"/>
            <w:vAlign w:val="center"/>
            <w:hideMark/>
          </w:tcPr>
          <w:p w:rsidR="00DA4FFF" w:rsidRPr="00DA4FFF" w:rsidRDefault="00DA4FFF" w:rsidP="00DA4FFF">
            <w:pPr>
              <w:jc w:val="center"/>
              <w:rPr>
                <w:sz w:val="20"/>
                <w:szCs w:val="20"/>
              </w:rPr>
            </w:pPr>
            <w:r w:rsidRPr="00DA4FFF">
              <w:rPr>
                <w:sz w:val="20"/>
                <w:szCs w:val="20"/>
              </w:rPr>
              <w:t>22,17%</w:t>
            </w:r>
          </w:p>
        </w:tc>
        <w:tc>
          <w:tcPr>
            <w:tcW w:w="229" w:type="pct"/>
            <w:tcBorders>
              <w:bottom w:val="single" w:sz="4" w:space="0" w:color="auto"/>
            </w:tcBorders>
            <w:shd w:val="clear" w:color="auto" w:fill="auto"/>
            <w:noWrap/>
            <w:vAlign w:val="bottom"/>
            <w:hideMark/>
          </w:tcPr>
          <w:p w:rsidR="00DA4FFF" w:rsidRPr="00DA4FFF" w:rsidRDefault="00DA4FFF" w:rsidP="00DA4FFF">
            <w:pPr>
              <w:jc w:val="center"/>
              <w:rPr>
                <w:sz w:val="20"/>
                <w:szCs w:val="20"/>
              </w:rPr>
            </w:pPr>
            <w:r w:rsidRPr="00DA4FFF">
              <w:rPr>
                <w:sz w:val="20"/>
                <w:szCs w:val="20"/>
              </w:rPr>
              <w:t> </w:t>
            </w:r>
          </w:p>
        </w:tc>
        <w:tc>
          <w:tcPr>
            <w:tcW w:w="456" w:type="pct"/>
            <w:tcBorders>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230" w:type="pct"/>
            <w:tcBorders>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464" w:type="pct"/>
            <w:tcBorders>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254" w:type="pct"/>
            <w:tcBorders>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617" w:type="pct"/>
            <w:tcBorders>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463" w:type="pct"/>
            <w:tcBorders>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598" w:type="pct"/>
            <w:tcBorders>
              <w:bottom w:val="single" w:sz="4" w:space="0" w:color="auto"/>
            </w:tcBorders>
            <w:shd w:val="clear" w:color="auto" w:fill="auto"/>
            <w:noWrap/>
            <w:vAlign w:val="bottom"/>
            <w:hideMark/>
          </w:tcPr>
          <w:p w:rsidR="00DA4FFF" w:rsidRPr="00DA4FFF" w:rsidRDefault="00DA4FFF" w:rsidP="00DA4FFF">
            <w:pPr>
              <w:rPr>
                <w:sz w:val="20"/>
                <w:szCs w:val="20"/>
              </w:rPr>
            </w:pPr>
            <w:r w:rsidRPr="00DA4FFF">
              <w:rPr>
                <w:sz w:val="20"/>
                <w:szCs w:val="20"/>
              </w:rPr>
              <w:t> </w:t>
            </w:r>
          </w:p>
        </w:tc>
        <w:tc>
          <w:tcPr>
            <w:tcW w:w="189" w:type="pct"/>
            <w:tcBorders>
              <w:bottom w:val="single" w:sz="4" w:space="0" w:color="auto"/>
            </w:tcBorders>
          </w:tcPr>
          <w:p w:rsidR="00DA4FFF" w:rsidRPr="00DA4FFF" w:rsidRDefault="00DA4FFF" w:rsidP="00DA4FFF">
            <w:pPr>
              <w:rPr>
                <w:sz w:val="20"/>
                <w:szCs w:val="20"/>
              </w:rPr>
            </w:pPr>
          </w:p>
        </w:tc>
        <w:tc>
          <w:tcPr>
            <w:tcW w:w="446" w:type="pct"/>
            <w:tcBorders>
              <w:bottom w:val="single" w:sz="4" w:space="0" w:color="auto"/>
            </w:tcBorders>
          </w:tcPr>
          <w:p w:rsidR="00DA4FFF" w:rsidRPr="00DA4FFF" w:rsidRDefault="00DA4FFF" w:rsidP="00DA4FFF">
            <w:pPr>
              <w:rPr>
                <w:sz w:val="20"/>
                <w:szCs w:val="20"/>
              </w:rPr>
            </w:pPr>
          </w:p>
        </w:tc>
      </w:tr>
      <w:tr w:rsidR="00F6033F" w:rsidRPr="00DA4FFF" w:rsidTr="00F6033F">
        <w:trPr>
          <w:trHeight w:val="264"/>
        </w:trPr>
        <w:tc>
          <w:tcPr>
            <w:tcW w:w="5000" w:type="pct"/>
            <w:gridSpan w:val="13"/>
            <w:tcBorders>
              <w:top w:val="single" w:sz="4" w:space="0" w:color="auto"/>
              <w:bottom w:val="nil"/>
            </w:tcBorders>
            <w:shd w:val="clear" w:color="auto" w:fill="auto"/>
            <w:noWrap/>
            <w:vAlign w:val="bottom"/>
          </w:tcPr>
          <w:p w:rsidR="00F6033F" w:rsidRPr="00DA4FFF" w:rsidRDefault="00F6033F" w:rsidP="00F6033F">
            <w:pPr>
              <w:rPr>
                <w:sz w:val="20"/>
                <w:szCs w:val="20"/>
              </w:rPr>
            </w:pPr>
            <w:r w:rsidRPr="00DA4FFF">
              <w:rPr>
                <w:sz w:val="20"/>
                <w:szCs w:val="20"/>
              </w:rPr>
              <w:t>Fonte</w:t>
            </w:r>
            <w:r>
              <w:rPr>
                <w:sz w:val="20"/>
                <w:szCs w:val="20"/>
              </w:rPr>
              <w:t>: Resultados da Pesquisa (2017)</w:t>
            </w:r>
          </w:p>
        </w:tc>
      </w:tr>
    </w:tbl>
    <w:p w:rsidR="00342C4E" w:rsidRDefault="00342C4E" w:rsidP="00F6033F">
      <w:pPr>
        <w:spacing w:before="120" w:after="120"/>
        <w:jc w:val="center"/>
        <w:rPr>
          <w:sz w:val="20"/>
          <w:szCs w:val="20"/>
        </w:rPr>
      </w:pPr>
      <w:r w:rsidRPr="00DA4FFF">
        <w:rPr>
          <w:sz w:val="20"/>
          <w:szCs w:val="20"/>
        </w:rPr>
        <w:t xml:space="preserve">Tabela </w:t>
      </w:r>
      <w:r w:rsidRPr="00DA4FFF">
        <w:rPr>
          <w:sz w:val="20"/>
          <w:szCs w:val="20"/>
        </w:rPr>
        <w:fldChar w:fldCharType="begin"/>
      </w:r>
      <w:r w:rsidRPr="00DA4FFF">
        <w:rPr>
          <w:sz w:val="20"/>
          <w:szCs w:val="20"/>
        </w:rPr>
        <w:instrText xml:space="preserve"> SEQ Tabela \* ARABIC </w:instrText>
      </w:r>
      <w:r w:rsidRPr="00DA4FFF">
        <w:rPr>
          <w:sz w:val="20"/>
          <w:szCs w:val="20"/>
        </w:rPr>
        <w:fldChar w:fldCharType="separate"/>
      </w:r>
      <w:r w:rsidRPr="00DA4FFF">
        <w:rPr>
          <w:noProof/>
          <w:sz w:val="20"/>
          <w:szCs w:val="20"/>
        </w:rPr>
        <w:t>6</w:t>
      </w:r>
      <w:r w:rsidRPr="00DA4FFF">
        <w:rPr>
          <w:noProof/>
          <w:sz w:val="20"/>
          <w:szCs w:val="20"/>
        </w:rPr>
        <w:fldChar w:fldCharType="end"/>
      </w:r>
      <w:r w:rsidRPr="00DA4FFF">
        <w:rPr>
          <w:sz w:val="20"/>
          <w:szCs w:val="20"/>
        </w:rPr>
        <w:t xml:space="preserve"> - Modificações no imóvel</w:t>
      </w:r>
    </w:p>
    <w:p w:rsidR="00DA4FFF" w:rsidRPr="00DA4FFF" w:rsidRDefault="00DA4FFF" w:rsidP="00DA4FFF">
      <w:pPr>
        <w:tabs>
          <w:tab w:val="left" w:pos="3187"/>
        </w:tabs>
        <w:jc w:val="both"/>
        <w:rPr>
          <w:sz w:val="20"/>
          <w:szCs w:val="20"/>
        </w:rPr>
      </w:pPr>
      <w:r w:rsidRPr="00DA4FFF">
        <w:rPr>
          <w:sz w:val="20"/>
          <w:szCs w:val="20"/>
        </w:rPr>
        <w:tab/>
      </w:r>
    </w:p>
    <w:p w:rsidR="00DA4FFF" w:rsidRPr="00DA4FFF" w:rsidRDefault="00DA4FFF" w:rsidP="00DA4FFF">
      <w:pPr>
        <w:spacing w:after="120"/>
        <w:jc w:val="both"/>
      </w:pPr>
      <w:r w:rsidRPr="00DA4FFF">
        <w:t xml:space="preserve">O índice considerável de modificações no imóvel pode estar associado ao tamanho do imóvel, conforme evidenciou alguns respondentes, dentre eles, 42, 46, 132, 153 e 155, que reportaram que a cozinha é muito pequena. O participante </w:t>
      </w:r>
      <w:proofErr w:type="gramStart"/>
      <w:r w:rsidRPr="00DA4FFF">
        <w:t>4</w:t>
      </w:r>
      <w:proofErr w:type="gramEnd"/>
      <w:r w:rsidRPr="00DA4FFF">
        <w:t xml:space="preserve"> destacou que “</w:t>
      </w:r>
      <w:r w:rsidRPr="00DA4FFF">
        <w:rPr>
          <w:i/>
        </w:rPr>
        <w:t>a área de serviço era só um tanque minúsculo e sem cobertura</w:t>
      </w:r>
      <w:r w:rsidRPr="00DA4FFF">
        <w:t xml:space="preserve">”. </w:t>
      </w:r>
    </w:p>
    <w:p w:rsidR="00DA4FFF" w:rsidRPr="00DA4FFF" w:rsidRDefault="00DA4FFF" w:rsidP="00DA4FFF">
      <w:pPr>
        <w:spacing w:after="120"/>
        <w:jc w:val="both"/>
      </w:pPr>
      <w:r w:rsidRPr="00DA4FFF">
        <w:t>A estrutura do terreno também pode estar associada à demanda por mais investimento no imóvel, conforme relata o respondeste 107: “</w:t>
      </w:r>
      <w:r w:rsidRPr="00DA4FFF">
        <w:rPr>
          <w:i/>
        </w:rPr>
        <w:t>Tive que fazer muro de arrimo de cerca de 3 metros e, ainda gastar com reformas devido ao uso de material de baixa qualidade</w:t>
      </w:r>
      <w:r w:rsidRPr="00DA4FFF">
        <w:t>”.</w:t>
      </w:r>
    </w:p>
    <w:p w:rsidR="00DA4FFF" w:rsidRPr="00DA4FFF" w:rsidRDefault="00DA4FFF" w:rsidP="00DA4FFF">
      <w:pPr>
        <w:spacing w:after="120"/>
        <w:jc w:val="both"/>
      </w:pPr>
      <w:r w:rsidRPr="00DA4FFF">
        <w:t xml:space="preserve">No entanto, observou-se ainda que </w:t>
      </w:r>
      <w:proofErr w:type="gramStart"/>
      <w:r w:rsidRPr="00DA4FFF">
        <w:t>há</w:t>
      </w:r>
      <w:proofErr w:type="gramEnd"/>
      <w:r w:rsidRPr="00DA4FFF">
        <w:t xml:space="preserve"> situações em que a única opção foi improvisar, conforme apontado pelo respondente 179, onde “</w:t>
      </w:r>
      <w:r w:rsidRPr="00DA4FFF">
        <w:rPr>
          <w:i/>
        </w:rPr>
        <w:t>a casa foi construída abaixo do nível da rua, foi preciso improvisar na calçada para evitar que a água da chuva entrasse para dentro do lote”</w:t>
      </w:r>
      <w:r w:rsidRPr="00DA4FFF">
        <w:t>.</w:t>
      </w:r>
    </w:p>
    <w:p w:rsidR="00DA4FFF" w:rsidRDefault="00DA4FFF" w:rsidP="00F47265">
      <w:pPr>
        <w:spacing w:after="120"/>
        <w:jc w:val="both"/>
      </w:pPr>
      <w:r w:rsidRPr="00DA4FFF">
        <w:t xml:space="preserve">As modificações nos imóveis podem ainda estar associadas ao fato de que apenas 27,39% dos beneficiários conseguiram negociar adequações no imóvel durante a construção. É importante </w:t>
      </w:r>
      <w:r w:rsidRPr="00DA4FFF">
        <w:lastRenderedPageBreak/>
        <w:t>ressaltar que para os moradores do bairro Saturnino não havia essa possibilidade. Assim, 44,06% dos demais beneficiários conseguiram negociar com a construtora.</w:t>
      </w:r>
    </w:p>
    <w:p w:rsidR="00F47265" w:rsidRPr="00DA4FFF" w:rsidRDefault="00F47265" w:rsidP="00F47265">
      <w:pPr>
        <w:jc w:val="both"/>
      </w:pPr>
    </w:p>
    <w:p w:rsidR="00DA4FFF" w:rsidRPr="00DA4FFF" w:rsidRDefault="00DA4FFF" w:rsidP="00DA4FFF">
      <w:pPr>
        <w:pStyle w:val="Ttulo2"/>
        <w:rPr>
          <w:szCs w:val="24"/>
        </w:rPr>
      </w:pPr>
      <w:bookmarkStart w:id="26" w:name="_Toc469305046"/>
      <w:r w:rsidRPr="00DA4FFF">
        <w:rPr>
          <w:szCs w:val="24"/>
        </w:rPr>
        <w:t>4.3 Percepção dos Beneficiários</w:t>
      </w:r>
      <w:bookmarkEnd w:id="26"/>
    </w:p>
    <w:p w:rsidR="00DA4FFF" w:rsidRPr="00DA4FFF" w:rsidRDefault="00DA4FFF" w:rsidP="00DA4FFF">
      <w:pPr>
        <w:spacing w:after="120"/>
        <w:jc w:val="both"/>
      </w:pPr>
      <w:r w:rsidRPr="00DA4FFF">
        <w:t xml:space="preserve">Neste tópico, buscou-se verificar a percepção dos beneficiários do PMCMV (faixa </w:t>
      </w:r>
      <w:proofErr w:type="gramStart"/>
      <w:r w:rsidRPr="00DA4FFF">
        <w:t>2</w:t>
      </w:r>
      <w:proofErr w:type="gramEnd"/>
      <w:r w:rsidRPr="00DA4FFF">
        <w:t xml:space="preserve">) em relação ao imóvel e entorno/acesso aos serviços públicos nas proximidades, por meio de análise dos escores e test </w:t>
      </w:r>
      <w:r w:rsidRPr="00DA4FFF">
        <w:rPr>
          <w:i/>
        </w:rPr>
        <w:t>t Student</w:t>
      </w:r>
      <w:r w:rsidRPr="00DA4FFF">
        <w:rPr>
          <w:rFonts w:eastAsiaTheme="minorHAnsi"/>
          <w:i/>
          <w:lang w:eastAsia="en-US"/>
        </w:rPr>
        <w:t xml:space="preserve"> </w:t>
      </w:r>
      <w:r w:rsidRPr="00DA4FFF">
        <w:rPr>
          <w:rFonts w:eastAsiaTheme="minorHAnsi"/>
          <w:lang w:eastAsia="en-US"/>
        </w:rPr>
        <w:t xml:space="preserve">dos </w:t>
      </w:r>
      <w:r w:rsidRPr="00DA4FFF">
        <w:t xml:space="preserve">itens constantes na questão 23 do formulário de coleta de dados, sendo que o participante afirmava seu grau concordância ou discordância com base na escala </w:t>
      </w:r>
      <w:r w:rsidRPr="00DA4FFF">
        <w:rPr>
          <w:i/>
        </w:rPr>
        <w:t xml:space="preserve">Likert </w:t>
      </w:r>
      <w:r w:rsidRPr="00DA4FFF">
        <w:t>de 5 pontos.</w:t>
      </w:r>
    </w:p>
    <w:p w:rsidR="00182117" w:rsidRDefault="00DA4FFF" w:rsidP="00416DB4">
      <w:pPr>
        <w:spacing w:after="120"/>
        <w:jc w:val="both"/>
      </w:pPr>
      <w:r w:rsidRPr="00DA4FFF">
        <w:rPr>
          <w:rFonts w:eastAsiaTheme="minorHAnsi"/>
          <w:lang w:eastAsia="en-US"/>
        </w:rPr>
        <w:t>Analisando a Tabela 7, de acordo com escores obtidos na pesquisa, referentes às condições gerais do imóvel, pode-se perceber que, no geral, os homens (escore 3,60), estão mais satisfeitos que as mulheres (3,38). Os itens mais significativos na diferença de percepção entre homens e mulheres são: segurança (3,39 – 2,79); escoamento de água da chuva e rede de esgoto (3,59 – 3,28); o tamanho da área de serviço (2,93 – 2,70), tamanho dos dormitórios (3,80 – 3,46), repartição dos cômodos (4,02 – 3,77), temperatura / ventilação natural (4,33 – 3,98) e ainda quando se trata de umidade / infiltração (3,40 – 2,96). No entanto, a avaliação que as mulheres fazem quando se trata de melhorias no bem-estar da família é mais satisfatória.</w:t>
      </w:r>
      <w:r w:rsidR="00416DB4">
        <w:t xml:space="preserve"> </w:t>
      </w:r>
    </w:p>
    <w:p w:rsidR="00182117" w:rsidRPr="000C6BD2" w:rsidRDefault="00182117" w:rsidP="00DA4FFF">
      <w:pPr>
        <w:jc w:val="both"/>
      </w:pPr>
    </w:p>
    <w:tbl>
      <w:tblPr>
        <w:tblW w:w="0" w:type="auto"/>
        <w:tblBorders>
          <w:top w:val="single" w:sz="4" w:space="0" w:color="auto"/>
          <w:bottom w:val="sing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734"/>
        <w:gridCol w:w="685"/>
        <w:gridCol w:w="1004"/>
        <w:gridCol w:w="847"/>
        <w:gridCol w:w="940"/>
      </w:tblGrid>
      <w:tr w:rsidR="00DA4FFF" w:rsidRPr="00DA4FFF" w:rsidTr="00DA4FFF">
        <w:trPr>
          <w:trHeight w:val="219"/>
        </w:trPr>
        <w:tc>
          <w:tcPr>
            <w:tcW w:w="0" w:type="auto"/>
            <w:vMerge w:val="restart"/>
            <w:shd w:val="clear" w:color="auto" w:fill="auto"/>
            <w:vAlign w:val="center"/>
            <w:hideMark/>
          </w:tcPr>
          <w:p w:rsidR="00DA4FFF" w:rsidRPr="00DA4FFF" w:rsidRDefault="00DA4FFF" w:rsidP="00DA4FFF">
            <w:pPr>
              <w:rPr>
                <w:sz w:val="20"/>
                <w:szCs w:val="20"/>
              </w:rPr>
            </w:pPr>
            <w:r w:rsidRPr="00DA4FFF">
              <w:rPr>
                <w:sz w:val="20"/>
                <w:szCs w:val="20"/>
              </w:rPr>
              <w:t>Descrição</w:t>
            </w:r>
          </w:p>
        </w:tc>
        <w:tc>
          <w:tcPr>
            <w:tcW w:w="0" w:type="auto"/>
            <w:gridSpan w:val="2"/>
            <w:shd w:val="clear" w:color="auto" w:fill="auto"/>
            <w:vAlign w:val="center"/>
            <w:hideMark/>
          </w:tcPr>
          <w:p w:rsidR="00DA4FFF" w:rsidRPr="00DA4FFF" w:rsidRDefault="00DA4FFF" w:rsidP="00DA4FFF">
            <w:pPr>
              <w:jc w:val="center"/>
              <w:rPr>
                <w:sz w:val="20"/>
                <w:szCs w:val="20"/>
              </w:rPr>
            </w:pPr>
            <w:r w:rsidRPr="00DA4FFF">
              <w:rPr>
                <w:sz w:val="20"/>
                <w:szCs w:val="20"/>
              </w:rPr>
              <w:t>Todos os participantes</w:t>
            </w:r>
          </w:p>
        </w:tc>
        <w:tc>
          <w:tcPr>
            <w:tcW w:w="0" w:type="auto"/>
            <w:gridSpan w:val="2"/>
            <w:vAlign w:val="center"/>
          </w:tcPr>
          <w:p w:rsidR="00DA4FFF" w:rsidRPr="00DA4FFF" w:rsidRDefault="005B001D" w:rsidP="00DA4FFF">
            <w:pPr>
              <w:jc w:val="center"/>
              <w:rPr>
                <w:sz w:val="20"/>
                <w:szCs w:val="20"/>
              </w:rPr>
            </w:pPr>
            <w:r>
              <w:rPr>
                <w:sz w:val="20"/>
                <w:szCs w:val="20"/>
              </w:rPr>
              <w:t>Percepção por gênero</w:t>
            </w:r>
          </w:p>
        </w:tc>
      </w:tr>
      <w:tr w:rsidR="00DA4FFF" w:rsidRPr="00DA4FFF" w:rsidTr="00DA4FFF">
        <w:trPr>
          <w:trHeight w:val="413"/>
        </w:trPr>
        <w:tc>
          <w:tcPr>
            <w:tcW w:w="0" w:type="auto"/>
            <w:vMerge/>
            <w:shd w:val="clear" w:color="auto" w:fill="auto"/>
            <w:vAlign w:val="center"/>
            <w:hideMark/>
          </w:tcPr>
          <w:p w:rsidR="00DA4FFF" w:rsidRPr="00DA4FFF" w:rsidRDefault="00DA4FFF" w:rsidP="00DA4FFF">
            <w:pPr>
              <w:rPr>
                <w:sz w:val="20"/>
                <w:szCs w:val="20"/>
              </w:rPr>
            </w:pPr>
          </w:p>
        </w:tc>
        <w:tc>
          <w:tcPr>
            <w:tcW w:w="0" w:type="auto"/>
            <w:shd w:val="clear" w:color="auto" w:fill="auto"/>
            <w:vAlign w:val="center"/>
            <w:hideMark/>
          </w:tcPr>
          <w:p w:rsidR="00DA4FFF" w:rsidRPr="00DA4FFF" w:rsidRDefault="00DA4FFF" w:rsidP="00DA4FFF">
            <w:pPr>
              <w:jc w:val="center"/>
              <w:rPr>
                <w:sz w:val="20"/>
                <w:szCs w:val="20"/>
              </w:rPr>
            </w:pPr>
            <w:r w:rsidRPr="00DA4FFF">
              <w:rPr>
                <w:sz w:val="20"/>
                <w:szCs w:val="20"/>
              </w:rPr>
              <w:t>Escore</w:t>
            </w:r>
          </w:p>
        </w:tc>
        <w:tc>
          <w:tcPr>
            <w:tcW w:w="0" w:type="auto"/>
            <w:shd w:val="clear" w:color="auto" w:fill="auto"/>
            <w:vAlign w:val="center"/>
            <w:hideMark/>
          </w:tcPr>
          <w:p w:rsidR="00DA4FFF" w:rsidRPr="00DA4FFF" w:rsidRDefault="00DA4FFF" w:rsidP="00DA4FFF">
            <w:pPr>
              <w:jc w:val="center"/>
              <w:rPr>
                <w:sz w:val="20"/>
                <w:szCs w:val="20"/>
              </w:rPr>
            </w:pPr>
            <w:r w:rsidRPr="00DA4FFF">
              <w:rPr>
                <w:sz w:val="20"/>
                <w:szCs w:val="20"/>
              </w:rPr>
              <w:t>Desvio Padrão</w:t>
            </w:r>
          </w:p>
        </w:tc>
        <w:tc>
          <w:tcPr>
            <w:tcW w:w="0" w:type="auto"/>
            <w:vAlign w:val="center"/>
          </w:tcPr>
          <w:p w:rsidR="00DA4FFF" w:rsidRPr="00DA4FFF" w:rsidRDefault="00DA4FFF" w:rsidP="00DA4FFF">
            <w:pPr>
              <w:jc w:val="center"/>
              <w:rPr>
                <w:sz w:val="20"/>
                <w:szCs w:val="20"/>
              </w:rPr>
            </w:pPr>
            <w:r w:rsidRPr="00DA4FFF">
              <w:rPr>
                <w:sz w:val="20"/>
                <w:szCs w:val="20"/>
              </w:rPr>
              <w:t>Homens</w:t>
            </w:r>
          </w:p>
        </w:tc>
        <w:tc>
          <w:tcPr>
            <w:tcW w:w="0" w:type="auto"/>
            <w:shd w:val="clear" w:color="auto" w:fill="auto"/>
            <w:vAlign w:val="center"/>
          </w:tcPr>
          <w:p w:rsidR="00DA4FFF" w:rsidRPr="00DA4FFF" w:rsidRDefault="00DA4FFF" w:rsidP="00DA4FFF">
            <w:pPr>
              <w:jc w:val="center"/>
              <w:rPr>
                <w:sz w:val="20"/>
                <w:szCs w:val="20"/>
              </w:rPr>
            </w:pPr>
            <w:r w:rsidRPr="00DA4FFF">
              <w:rPr>
                <w:sz w:val="20"/>
                <w:szCs w:val="20"/>
              </w:rPr>
              <w:t>Mulheres</w:t>
            </w:r>
          </w:p>
        </w:tc>
      </w:tr>
      <w:tr w:rsidR="00DA4FFF" w:rsidRPr="00DA4FFF" w:rsidTr="00DA4FFF">
        <w:trPr>
          <w:trHeight w:val="219"/>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O imóvel quando entregue era seguro</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3,01</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1,449</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sz w:val="20"/>
                <w:szCs w:val="20"/>
              </w:rPr>
              <w:t>3,39</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2,79</w:t>
            </w:r>
          </w:p>
        </w:tc>
      </w:tr>
      <w:tr w:rsidR="00DA4FFF" w:rsidRPr="00DA4FFF" w:rsidTr="00DA4FFF">
        <w:trPr>
          <w:trHeight w:val="319"/>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O escoamento da água em calhas, ralos e caixa coletora (rede de esgoto) é satisfatório.</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3,39</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1,333</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sz w:val="20"/>
                <w:szCs w:val="20"/>
              </w:rPr>
              <w:t>3,59</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3,28</w:t>
            </w:r>
          </w:p>
        </w:tc>
      </w:tr>
      <w:tr w:rsidR="00DA4FFF" w:rsidRPr="00DA4FFF" w:rsidTr="00DA4FFF">
        <w:trPr>
          <w:trHeight w:val="219"/>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O tamanho da área de serviço é bom</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2,79</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1,458</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2,93</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2,70</w:t>
            </w:r>
          </w:p>
        </w:tc>
      </w:tr>
      <w:tr w:rsidR="00DA4FFF" w:rsidRPr="00DA4FFF" w:rsidTr="00DA4FFF">
        <w:trPr>
          <w:trHeight w:val="219"/>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O tamanho da casa é adequado</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3,66</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1,311</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3,72</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3,63</w:t>
            </w:r>
          </w:p>
        </w:tc>
      </w:tr>
      <w:tr w:rsidR="00DA4FFF" w:rsidRPr="00DA4FFF" w:rsidTr="00DA4FFF">
        <w:trPr>
          <w:trHeight w:val="219"/>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Os cômodos são bem divido / estruturados.</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3,86</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1,174</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4,02</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3,77</w:t>
            </w:r>
          </w:p>
        </w:tc>
      </w:tr>
      <w:tr w:rsidR="00DA4FFF" w:rsidRPr="00DA4FFF" w:rsidTr="00DA4FFF">
        <w:trPr>
          <w:trHeight w:val="219"/>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O tamanho dos dormitórios é satisfatório.</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3,59</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1,341</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3,80</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3,46</w:t>
            </w:r>
          </w:p>
        </w:tc>
      </w:tr>
      <w:tr w:rsidR="00DA4FFF" w:rsidRPr="00DA4FFF" w:rsidTr="00DA4FFF">
        <w:trPr>
          <w:trHeight w:val="166"/>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 xml:space="preserve">NÃO Precisei ampliar o número e a localização das tomadas </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3,23</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1,588</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3,29</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3,20</w:t>
            </w:r>
          </w:p>
        </w:tc>
      </w:tr>
      <w:tr w:rsidR="00DA4FFF" w:rsidRPr="00DA4FFF" w:rsidTr="00DA4FFF">
        <w:trPr>
          <w:trHeight w:val="358"/>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A temperatura de minha casa é agradável (nem muito quente, nem muito fria e com boa ventilação).</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4,11</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0,944</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4,33</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3,98</w:t>
            </w:r>
          </w:p>
        </w:tc>
      </w:tr>
      <w:tr w:rsidR="00DA4FFF" w:rsidRPr="00DA4FFF" w:rsidTr="00DA4FFF">
        <w:trPr>
          <w:trHeight w:val="162"/>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Minha casa NÃO apresentou problema de umidade / Infiltração</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3,12</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1,443</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3,40</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2,96</w:t>
            </w:r>
          </w:p>
        </w:tc>
      </w:tr>
      <w:tr w:rsidR="00DA4FFF" w:rsidRPr="00DA4FFF" w:rsidTr="00DA4FFF">
        <w:trPr>
          <w:trHeight w:val="208"/>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A qualidade dos serviços de acabamento foi como esperado</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2,48</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1,373</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2,53</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2,46</w:t>
            </w:r>
          </w:p>
        </w:tc>
      </w:tr>
      <w:tr w:rsidR="00DA4FFF" w:rsidRPr="00DA4FFF" w:rsidTr="00DA4FFF">
        <w:trPr>
          <w:trHeight w:val="400"/>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 xml:space="preserve">A acessibilidade da minha casa é boa (quanto ao nível em relação </w:t>
            </w:r>
            <w:proofErr w:type="gramStart"/>
            <w:r w:rsidRPr="00DA4FFF">
              <w:rPr>
                <w:rFonts w:eastAsiaTheme="minorHAnsi"/>
                <w:sz w:val="20"/>
                <w:szCs w:val="20"/>
                <w:lang w:eastAsia="en-US"/>
              </w:rPr>
              <w:t>a</w:t>
            </w:r>
            <w:proofErr w:type="gramEnd"/>
            <w:r w:rsidRPr="00DA4FFF">
              <w:rPr>
                <w:rFonts w:eastAsiaTheme="minorHAnsi"/>
                <w:sz w:val="20"/>
                <w:szCs w:val="20"/>
                <w:lang w:eastAsia="en-US"/>
              </w:rPr>
              <w:t xml:space="preserve"> rua, escadas e dimensões das portas)</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3,88</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1,119</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3,82</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3,91</w:t>
            </w:r>
          </w:p>
        </w:tc>
      </w:tr>
      <w:tr w:rsidR="00DA4FFF" w:rsidRPr="00DA4FFF" w:rsidTr="00DA4FFF">
        <w:trPr>
          <w:trHeight w:val="210"/>
        </w:trPr>
        <w:tc>
          <w:tcPr>
            <w:tcW w:w="0" w:type="auto"/>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A nova casa proporcionou aumento de “Bem-estar" à minha família</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4,44</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0,795</w:t>
            </w:r>
          </w:p>
        </w:tc>
        <w:tc>
          <w:tcPr>
            <w:tcW w:w="0" w:type="auto"/>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4,38</w:t>
            </w:r>
          </w:p>
        </w:tc>
        <w:tc>
          <w:tcPr>
            <w:tcW w:w="0" w:type="auto"/>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4,48</w:t>
            </w:r>
          </w:p>
        </w:tc>
      </w:tr>
      <w:tr w:rsidR="00DA4FFF" w:rsidRPr="00DA4FFF" w:rsidTr="00F6033F">
        <w:trPr>
          <w:trHeight w:val="219"/>
        </w:trPr>
        <w:tc>
          <w:tcPr>
            <w:tcW w:w="0" w:type="auto"/>
            <w:tcBorders>
              <w:bottom w:val="single" w:sz="4" w:space="0" w:color="auto"/>
            </w:tcBorders>
            <w:shd w:val="clear" w:color="auto" w:fill="auto"/>
            <w:noWrap/>
            <w:vAlign w:val="center"/>
            <w:hideMark/>
          </w:tcPr>
          <w:p w:rsidR="00DA4FFF" w:rsidRPr="00DA4FFF" w:rsidRDefault="00DA4FFF" w:rsidP="00DA4FFF">
            <w:pPr>
              <w:autoSpaceDE w:val="0"/>
              <w:autoSpaceDN w:val="0"/>
              <w:adjustRightInd w:val="0"/>
              <w:rPr>
                <w:rFonts w:eastAsiaTheme="minorHAnsi"/>
                <w:b/>
                <w:sz w:val="20"/>
                <w:szCs w:val="20"/>
                <w:lang w:eastAsia="en-US"/>
              </w:rPr>
            </w:pPr>
            <w:r w:rsidRPr="00DA4FFF">
              <w:rPr>
                <w:rFonts w:eastAsiaTheme="minorHAnsi"/>
                <w:b/>
                <w:sz w:val="20"/>
                <w:szCs w:val="20"/>
                <w:lang w:eastAsia="en-US"/>
              </w:rPr>
              <w:t>Escore de Satisfação com o Imóvel</w:t>
            </w:r>
          </w:p>
        </w:tc>
        <w:tc>
          <w:tcPr>
            <w:tcW w:w="0" w:type="auto"/>
            <w:tcBorders>
              <w:bottom w:val="single" w:sz="4" w:space="0" w:color="auto"/>
            </w:tcBorders>
            <w:shd w:val="clear" w:color="auto" w:fill="auto"/>
            <w:noWrap/>
            <w:vAlign w:val="center"/>
            <w:hideMark/>
          </w:tcPr>
          <w:p w:rsidR="00DA4FFF" w:rsidRPr="00DA4FFF" w:rsidRDefault="00DA4FFF" w:rsidP="00DA4FFF">
            <w:pPr>
              <w:autoSpaceDE w:val="0"/>
              <w:autoSpaceDN w:val="0"/>
              <w:adjustRightInd w:val="0"/>
              <w:jc w:val="center"/>
              <w:rPr>
                <w:rFonts w:eastAsiaTheme="minorHAnsi"/>
                <w:b/>
                <w:sz w:val="20"/>
                <w:szCs w:val="20"/>
                <w:lang w:eastAsia="en-US"/>
              </w:rPr>
            </w:pPr>
            <w:r w:rsidRPr="00DA4FFF">
              <w:rPr>
                <w:rFonts w:eastAsiaTheme="minorHAnsi"/>
                <w:b/>
                <w:sz w:val="20"/>
                <w:szCs w:val="20"/>
                <w:lang w:eastAsia="en-US"/>
              </w:rPr>
              <w:t>3,46</w:t>
            </w:r>
          </w:p>
        </w:tc>
        <w:tc>
          <w:tcPr>
            <w:tcW w:w="0" w:type="auto"/>
            <w:tcBorders>
              <w:bottom w:val="single" w:sz="4" w:space="0" w:color="auto"/>
            </w:tcBorders>
            <w:shd w:val="clear" w:color="auto" w:fill="auto"/>
            <w:noWrap/>
            <w:vAlign w:val="center"/>
            <w:hideMark/>
          </w:tcPr>
          <w:p w:rsidR="00DA4FFF" w:rsidRPr="00DA4FFF" w:rsidRDefault="00DA4FFF" w:rsidP="00DA4FFF">
            <w:pPr>
              <w:autoSpaceDE w:val="0"/>
              <w:autoSpaceDN w:val="0"/>
              <w:adjustRightInd w:val="0"/>
              <w:jc w:val="center"/>
              <w:rPr>
                <w:rFonts w:eastAsiaTheme="minorHAnsi"/>
                <w:b/>
                <w:sz w:val="20"/>
                <w:szCs w:val="20"/>
                <w:lang w:eastAsia="en-US"/>
              </w:rPr>
            </w:pPr>
          </w:p>
        </w:tc>
        <w:tc>
          <w:tcPr>
            <w:tcW w:w="0" w:type="auto"/>
            <w:tcBorders>
              <w:bottom w:val="single" w:sz="4" w:space="0" w:color="auto"/>
            </w:tcBorders>
            <w:vAlign w:val="center"/>
          </w:tcPr>
          <w:p w:rsidR="00DA4FFF" w:rsidRPr="00DA4FFF" w:rsidRDefault="00DA4FFF" w:rsidP="00DA4FFF">
            <w:pPr>
              <w:autoSpaceDE w:val="0"/>
              <w:autoSpaceDN w:val="0"/>
              <w:adjustRightInd w:val="0"/>
              <w:jc w:val="center"/>
              <w:rPr>
                <w:rFonts w:eastAsiaTheme="minorHAnsi"/>
                <w:b/>
                <w:sz w:val="20"/>
                <w:szCs w:val="20"/>
                <w:lang w:eastAsia="en-US"/>
              </w:rPr>
            </w:pPr>
            <w:r w:rsidRPr="00DA4FFF">
              <w:rPr>
                <w:rFonts w:eastAsiaTheme="minorHAnsi"/>
                <w:b/>
                <w:sz w:val="20"/>
                <w:szCs w:val="20"/>
                <w:lang w:eastAsia="en-US"/>
              </w:rPr>
              <w:t>3,60</w:t>
            </w:r>
          </w:p>
        </w:tc>
        <w:tc>
          <w:tcPr>
            <w:tcW w:w="0" w:type="auto"/>
            <w:tcBorders>
              <w:bottom w:val="single" w:sz="4" w:space="0" w:color="auto"/>
            </w:tcBorders>
            <w:shd w:val="clear" w:color="auto" w:fill="auto"/>
            <w:noWrap/>
            <w:vAlign w:val="center"/>
            <w:hideMark/>
          </w:tcPr>
          <w:p w:rsidR="00DA4FFF" w:rsidRPr="00DA4FFF" w:rsidRDefault="00DA4FFF" w:rsidP="00DA4FFF">
            <w:pPr>
              <w:autoSpaceDE w:val="0"/>
              <w:autoSpaceDN w:val="0"/>
              <w:adjustRightInd w:val="0"/>
              <w:jc w:val="center"/>
              <w:rPr>
                <w:rFonts w:eastAsiaTheme="minorHAnsi"/>
                <w:b/>
                <w:sz w:val="20"/>
                <w:szCs w:val="20"/>
                <w:lang w:eastAsia="en-US"/>
              </w:rPr>
            </w:pPr>
            <w:r w:rsidRPr="00DA4FFF">
              <w:rPr>
                <w:rFonts w:eastAsiaTheme="minorHAnsi"/>
                <w:b/>
                <w:sz w:val="20"/>
                <w:szCs w:val="20"/>
                <w:lang w:eastAsia="en-US"/>
              </w:rPr>
              <w:t>3,38</w:t>
            </w:r>
          </w:p>
        </w:tc>
      </w:tr>
      <w:tr w:rsidR="00F6033F" w:rsidRPr="00DA4FFF" w:rsidTr="009817B1">
        <w:trPr>
          <w:trHeight w:val="219"/>
        </w:trPr>
        <w:tc>
          <w:tcPr>
            <w:tcW w:w="0" w:type="auto"/>
            <w:gridSpan w:val="5"/>
            <w:tcBorders>
              <w:top w:val="single" w:sz="4" w:space="0" w:color="auto"/>
              <w:bottom w:val="nil"/>
            </w:tcBorders>
            <w:shd w:val="clear" w:color="auto" w:fill="auto"/>
            <w:noWrap/>
            <w:vAlign w:val="center"/>
          </w:tcPr>
          <w:p w:rsidR="00F6033F" w:rsidRPr="00F6033F" w:rsidRDefault="00F6033F" w:rsidP="00F6033F">
            <w:pPr>
              <w:rPr>
                <w:sz w:val="20"/>
                <w:szCs w:val="20"/>
              </w:rPr>
            </w:pPr>
            <w:r w:rsidRPr="00DA4FFF">
              <w:rPr>
                <w:sz w:val="20"/>
                <w:szCs w:val="20"/>
              </w:rPr>
              <w:t>Fonte</w:t>
            </w:r>
            <w:r>
              <w:rPr>
                <w:sz w:val="20"/>
                <w:szCs w:val="20"/>
              </w:rPr>
              <w:t>: Resultados da Pesquisa (2017)</w:t>
            </w:r>
          </w:p>
        </w:tc>
      </w:tr>
    </w:tbl>
    <w:p w:rsidR="00342C4E" w:rsidRDefault="00342C4E" w:rsidP="00F6033F">
      <w:pPr>
        <w:spacing w:before="120" w:after="120"/>
        <w:jc w:val="center"/>
        <w:rPr>
          <w:sz w:val="20"/>
          <w:szCs w:val="20"/>
        </w:rPr>
      </w:pPr>
      <w:r w:rsidRPr="00DA4FFF">
        <w:rPr>
          <w:sz w:val="20"/>
          <w:szCs w:val="20"/>
        </w:rPr>
        <w:t xml:space="preserve">Tabela </w:t>
      </w:r>
      <w:r w:rsidRPr="00DA4FFF">
        <w:rPr>
          <w:sz w:val="20"/>
          <w:szCs w:val="20"/>
        </w:rPr>
        <w:fldChar w:fldCharType="begin"/>
      </w:r>
      <w:r w:rsidRPr="00DA4FFF">
        <w:rPr>
          <w:sz w:val="20"/>
          <w:szCs w:val="20"/>
        </w:rPr>
        <w:instrText xml:space="preserve"> SEQ Tabela \* ARABIC </w:instrText>
      </w:r>
      <w:r w:rsidRPr="00DA4FFF">
        <w:rPr>
          <w:sz w:val="20"/>
          <w:szCs w:val="20"/>
        </w:rPr>
        <w:fldChar w:fldCharType="separate"/>
      </w:r>
      <w:r w:rsidRPr="00DA4FFF">
        <w:rPr>
          <w:noProof/>
          <w:sz w:val="20"/>
          <w:szCs w:val="20"/>
        </w:rPr>
        <w:t>7</w:t>
      </w:r>
      <w:r w:rsidRPr="00DA4FFF">
        <w:rPr>
          <w:noProof/>
          <w:sz w:val="20"/>
          <w:szCs w:val="20"/>
        </w:rPr>
        <w:fldChar w:fldCharType="end"/>
      </w:r>
      <w:r w:rsidRPr="00DA4FFF">
        <w:rPr>
          <w:sz w:val="20"/>
          <w:szCs w:val="20"/>
        </w:rPr>
        <w:t xml:space="preserve"> - Satisfação em relação ao imóvel</w:t>
      </w:r>
    </w:p>
    <w:p w:rsidR="00DA4FFF" w:rsidRPr="00DA4FFF" w:rsidRDefault="00DA4FFF" w:rsidP="00DA4FFF">
      <w:pPr>
        <w:jc w:val="both"/>
        <w:rPr>
          <w:sz w:val="20"/>
          <w:szCs w:val="20"/>
        </w:rPr>
      </w:pPr>
    </w:p>
    <w:p w:rsidR="00DA4FFF" w:rsidRDefault="00DA4FFF" w:rsidP="00DA4FFF">
      <w:pPr>
        <w:autoSpaceDE w:val="0"/>
        <w:autoSpaceDN w:val="0"/>
        <w:adjustRightInd w:val="0"/>
        <w:jc w:val="both"/>
        <w:rPr>
          <w:rFonts w:eastAsiaTheme="minorHAnsi"/>
          <w:lang w:eastAsia="en-US"/>
        </w:rPr>
      </w:pPr>
      <w:r w:rsidRPr="00DA4FFF">
        <w:rPr>
          <w:rFonts w:eastAsiaTheme="minorHAnsi"/>
          <w:lang w:eastAsia="en-US"/>
        </w:rPr>
        <w:t>A próxima análise é referente à satisfação com o entorno e acesso aos serviços públicos, mostrados na Tabela 8.</w:t>
      </w:r>
    </w:p>
    <w:p w:rsidR="00416DB4" w:rsidRDefault="00416DB4" w:rsidP="00DA4FFF">
      <w:pPr>
        <w:autoSpaceDE w:val="0"/>
        <w:autoSpaceDN w:val="0"/>
        <w:adjustRightInd w:val="0"/>
        <w:jc w:val="both"/>
        <w:rPr>
          <w:rFonts w:eastAsiaTheme="minorHAnsi"/>
          <w:lang w:eastAsia="en-US"/>
        </w:rPr>
      </w:pPr>
    </w:p>
    <w:p w:rsidR="00416DB4" w:rsidRDefault="00416DB4" w:rsidP="00DA4FFF">
      <w:pPr>
        <w:autoSpaceDE w:val="0"/>
        <w:autoSpaceDN w:val="0"/>
        <w:adjustRightInd w:val="0"/>
        <w:jc w:val="both"/>
        <w:rPr>
          <w:rFonts w:eastAsiaTheme="minorHAnsi"/>
          <w:lang w:eastAsia="en-US"/>
        </w:rPr>
      </w:pPr>
    </w:p>
    <w:p w:rsidR="00416DB4" w:rsidRDefault="00416DB4" w:rsidP="00DA4FFF">
      <w:pPr>
        <w:autoSpaceDE w:val="0"/>
        <w:autoSpaceDN w:val="0"/>
        <w:adjustRightInd w:val="0"/>
        <w:jc w:val="both"/>
        <w:rPr>
          <w:rFonts w:eastAsiaTheme="minorHAnsi"/>
          <w:lang w:eastAsia="en-US"/>
        </w:rPr>
      </w:pPr>
    </w:p>
    <w:p w:rsidR="00416DB4" w:rsidRDefault="00416DB4" w:rsidP="00DA4FFF">
      <w:pPr>
        <w:autoSpaceDE w:val="0"/>
        <w:autoSpaceDN w:val="0"/>
        <w:adjustRightInd w:val="0"/>
        <w:jc w:val="both"/>
        <w:rPr>
          <w:rFonts w:eastAsiaTheme="minorHAnsi"/>
          <w:lang w:eastAsia="en-US"/>
        </w:rPr>
      </w:pPr>
    </w:p>
    <w:p w:rsidR="00416DB4" w:rsidRDefault="00416DB4" w:rsidP="00DA4FFF">
      <w:pPr>
        <w:autoSpaceDE w:val="0"/>
        <w:autoSpaceDN w:val="0"/>
        <w:adjustRightInd w:val="0"/>
        <w:jc w:val="both"/>
        <w:rPr>
          <w:rFonts w:eastAsiaTheme="minorHAnsi"/>
          <w:lang w:eastAsia="en-US"/>
        </w:rPr>
      </w:pPr>
    </w:p>
    <w:p w:rsidR="00416DB4" w:rsidRPr="00DA4FFF" w:rsidRDefault="00416DB4" w:rsidP="00DA4FFF">
      <w:pPr>
        <w:autoSpaceDE w:val="0"/>
        <w:autoSpaceDN w:val="0"/>
        <w:adjustRightInd w:val="0"/>
        <w:jc w:val="both"/>
        <w:rPr>
          <w:rFonts w:eastAsiaTheme="minorHAnsi"/>
          <w:lang w:eastAsia="en-US"/>
        </w:rPr>
      </w:pPr>
    </w:p>
    <w:p w:rsidR="00DA4FFF" w:rsidRPr="000C6BD2" w:rsidRDefault="00DA4FFF" w:rsidP="00DA4FFF">
      <w:pPr>
        <w:autoSpaceDE w:val="0"/>
        <w:autoSpaceDN w:val="0"/>
        <w:adjustRightInd w:val="0"/>
        <w:jc w:val="both"/>
      </w:pPr>
    </w:p>
    <w:tbl>
      <w:tblPr>
        <w:tblW w:w="0" w:type="auto"/>
        <w:tblBorders>
          <w:top w:val="single" w:sz="4" w:space="0" w:color="auto"/>
          <w:bottom w:val="sing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709"/>
        <w:gridCol w:w="878"/>
        <w:gridCol w:w="854"/>
        <w:gridCol w:w="873"/>
        <w:gridCol w:w="896"/>
      </w:tblGrid>
      <w:tr w:rsidR="00DA4FFF" w:rsidRPr="00DA4FFF" w:rsidTr="005B001D">
        <w:trPr>
          <w:trHeight w:val="170"/>
        </w:trPr>
        <w:tc>
          <w:tcPr>
            <w:tcW w:w="5709" w:type="dxa"/>
            <w:vMerge w:val="restart"/>
            <w:shd w:val="clear" w:color="auto" w:fill="auto"/>
            <w:noWrap/>
            <w:vAlign w:val="center"/>
            <w:hideMark/>
          </w:tcPr>
          <w:p w:rsidR="00DA4FFF" w:rsidRPr="00DA4FFF" w:rsidRDefault="00DA4FFF" w:rsidP="00DA4FFF">
            <w:pPr>
              <w:rPr>
                <w:sz w:val="20"/>
                <w:szCs w:val="20"/>
              </w:rPr>
            </w:pPr>
            <w:r w:rsidRPr="00DA4FFF">
              <w:rPr>
                <w:sz w:val="20"/>
                <w:szCs w:val="20"/>
              </w:rPr>
              <w:lastRenderedPageBreak/>
              <w:t>Descrição</w:t>
            </w:r>
          </w:p>
          <w:p w:rsidR="00DA4FFF" w:rsidRPr="00DA4FFF" w:rsidRDefault="00DA4FFF" w:rsidP="00DA4FFF">
            <w:pPr>
              <w:rPr>
                <w:sz w:val="20"/>
                <w:szCs w:val="20"/>
              </w:rPr>
            </w:pPr>
            <w:r w:rsidRPr="00DA4FFF">
              <w:rPr>
                <w:sz w:val="20"/>
                <w:szCs w:val="20"/>
              </w:rPr>
              <w:t> </w:t>
            </w:r>
          </w:p>
        </w:tc>
        <w:tc>
          <w:tcPr>
            <w:tcW w:w="1732" w:type="dxa"/>
            <w:gridSpan w:val="2"/>
            <w:shd w:val="clear" w:color="auto" w:fill="auto"/>
            <w:vAlign w:val="center"/>
            <w:hideMark/>
          </w:tcPr>
          <w:p w:rsidR="00DA4FFF" w:rsidRPr="00DA4FFF" w:rsidRDefault="00DA4FFF" w:rsidP="00DA4FFF">
            <w:pPr>
              <w:jc w:val="center"/>
              <w:rPr>
                <w:sz w:val="20"/>
                <w:szCs w:val="20"/>
              </w:rPr>
            </w:pPr>
            <w:r w:rsidRPr="00DA4FFF">
              <w:rPr>
                <w:sz w:val="20"/>
                <w:szCs w:val="20"/>
              </w:rPr>
              <w:t>Todos os participantes</w:t>
            </w:r>
          </w:p>
        </w:tc>
        <w:tc>
          <w:tcPr>
            <w:tcW w:w="1769" w:type="dxa"/>
            <w:gridSpan w:val="2"/>
            <w:vAlign w:val="center"/>
          </w:tcPr>
          <w:p w:rsidR="00DA4FFF" w:rsidRPr="00DA4FFF" w:rsidRDefault="00DA4FFF" w:rsidP="00DA4FFF">
            <w:pPr>
              <w:jc w:val="center"/>
              <w:rPr>
                <w:sz w:val="20"/>
                <w:szCs w:val="20"/>
              </w:rPr>
            </w:pPr>
            <w:r w:rsidRPr="00DA4FFF">
              <w:rPr>
                <w:sz w:val="20"/>
                <w:szCs w:val="20"/>
              </w:rPr>
              <w:t xml:space="preserve">Percepção por </w:t>
            </w:r>
            <w:r w:rsidR="005B001D">
              <w:rPr>
                <w:sz w:val="20"/>
                <w:szCs w:val="20"/>
              </w:rPr>
              <w:t>gênero</w:t>
            </w:r>
          </w:p>
        </w:tc>
      </w:tr>
      <w:tr w:rsidR="00DA4FFF" w:rsidRPr="00DA4FFF" w:rsidTr="005B001D">
        <w:trPr>
          <w:trHeight w:val="164"/>
        </w:trPr>
        <w:tc>
          <w:tcPr>
            <w:tcW w:w="5709" w:type="dxa"/>
            <w:vMerge/>
            <w:shd w:val="clear" w:color="auto" w:fill="auto"/>
            <w:noWrap/>
            <w:vAlign w:val="bottom"/>
            <w:hideMark/>
          </w:tcPr>
          <w:p w:rsidR="00DA4FFF" w:rsidRPr="00DA4FFF" w:rsidRDefault="00DA4FFF" w:rsidP="00DA4FFF">
            <w:pPr>
              <w:rPr>
                <w:sz w:val="20"/>
                <w:szCs w:val="20"/>
              </w:rPr>
            </w:pPr>
          </w:p>
        </w:tc>
        <w:tc>
          <w:tcPr>
            <w:tcW w:w="878" w:type="dxa"/>
            <w:shd w:val="clear" w:color="auto" w:fill="auto"/>
            <w:vAlign w:val="center"/>
            <w:hideMark/>
          </w:tcPr>
          <w:p w:rsidR="00DA4FFF" w:rsidRPr="00DA4FFF" w:rsidRDefault="00DA4FFF" w:rsidP="00DA4FFF">
            <w:pPr>
              <w:jc w:val="center"/>
              <w:rPr>
                <w:sz w:val="20"/>
                <w:szCs w:val="20"/>
              </w:rPr>
            </w:pPr>
            <w:r w:rsidRPr="00DA4FFF">
              <w:rPr>
                <w:sz w:val="20"/>
                <w:szCs w:val="20"/>
              </w:rPr>
              <w:t>Média Geral</w:t>
            </w:r>
          </w:p>
        </w:tc>
        <w:tc>
          <w:tcPr>
            <w:tcW w:w="854" w:type="dxa"/>
            <w:shd w:val="clear" w:color="auto" w:fill="auto"/>
            <w:vAlign w:val="center"/>
            <w:hideMark/>
          </w:tcPr>
          <w:p w:rsidR="00DA4FFF" w:rsidRPr="00DA4FFF" w:rsidRDefault="00DA4FFF" w:rsidP="00DA4FFF">
            <w:pPr>
              <w:jc w:val="center"/>
              <w:rPr>
                <w:sz w:val="20"/>
                <w:szCs w:val="20"/>
              </w:rPr>
            </w:pPr>
            <w:r w:rsidRPr="00DA4FFF">
              <w:rPr>
                <w:sz w:val="20"/>
                <w:szCs w:val="20"/>
              </w:rPr>
              <w:t>Desvio Padrão</w:t>
            </w:r>
          </w:p>
        </w:tc>
        <w:tc>
          <w:tcPr>
            <w:tcW w:w="873" w:type="dxa"/>
            <w:vAlign w:val="center"/>
          </w:tcPr>
          <w:p w:rsidR="00DA4FFF" w:rsidRPr="00DA4FFF" w:rsidRDefault="00DA4FFF" w:rsidP="00DA4FFF">
            <w:pPr>
              <w:jc w:val="center"/>
              <w:rPr>
                <w:sz w:val="20"/>
                <w:szCs w:val="20"/>
              </w:rPr>
            </w:pPr>
            <w:r w:rsidRPr="00DA4FFF">
              <w:rPr>
                <w:sz w:val="20"/>
                <w:szCs w:val="20"/>
              </w:rPr>
              <w:t>Homens</w:t>
            </w:r>
          </w:p>
        </w:tc>
        <w:tc>
          <w:tcPr>
            <w:tcW w:w="0" w:type="auto"/>
            <w:shd w:val="clear" w:color="auto" w:fill="auto"/>
            <w:vAlign w:val="center"/>
          </w:tcPr>
          <w:p w:rsidR="00DA4FFF" w:rsidRPr="00DA4FFF" w:rsidRDefault="00DA4FFF" w:rsidP="00DA4FFF">
            <w:pPr>
              <w:jc w:val="center"/>
              <w:rPr>
                <w:sz w:val="20"/>
                <w:szCs w:val="20"/>
              </w:rPr>
            </w:pPr>
            <w:r w:rsidRPr="00DA4FFF">
              <w:rPr>
                <w:sz w:val="20"/>
                <w:szCs w:val="20"/>
              </w:rPr>
              <w:t>Mulheres</w:t>
            </w:r>
          </w:p>
        </w:tc>
      </w:tr>
      <w:tr w:rsidR="00DA4FFF" w:rsidRPr="00DA4FFF" w:rsidTr="005B001D">
        <w:trPr>
          <w:trHeight w:val="170"/>
        </w:trPr>
        <w:tc>
          <w:tcPr>
            <w:tcW w:w="5709" w:type="dxa"/>
            <w:shd w:val="clear" w:color="auto" w:fill="auto"/>
            <w:vAlign w:val="bottom"/>
          </w:tcPr>
          <w:p w:rsidR="00DA4FFF" w:rsidRPr="00DA4FFF" w:rsidRDefault="00DA4FFF" w:rsidP="00DA4FFF">
            <w:pPr>
              <w:rPr>
                <w:sz w:val="20"/>
                <w:szCs w:val="20"/>
              </w:rPr>
            </w:pPr>
            <w:r w:rsidRPr="00DA4FFF">
              <w:rPr>
                <w:sz w:val="20"/>
                <w:szCs w:val="20"/>
              </w:rPr>
              <w:t>A iluminação publica na minha rua e nas proximidades é boa</w:t>
            </w:r>
          </w:p>
        </w:tc>
        <w:tc>
          <w:tcPr>
            <w:tcW w:w="878" w:type="dxa"/>
            <w:shd w:val="clear" w:color="auto" w:fill="auto"/>
            <w:noWrap/>
            <w:vAlign w:val="center"/>
          </w:tcPr>
          <w:p w:rsidR="00DA4FFF" w:rsidRPr="00DA4FFF" w:rsidRDefault="00DA4FFF" w:rsidP="00DA4FFF">
            <w:pPr>
              <w:jc w:val="center"/>
              <w:rPr>
                <w:sz w:val="20"/>
                <w:szCs w:val="20"/>
              </w:rPr>
            </w:pPr>
            <w:r w:rsidRPr="00DA4FFF">
              <w:rPr>
                <w:sz w:val="20"/>
                <w:szCs w:val="20"/>
              </w:rPr>
              <w:t>3,96</w:t>
            </w:r>
          </w:p>
        </w:tc>
        <w:tc>
          <w:tcPr>
            <w:tcW w:w="854" w:type="dxa"/>
            <w:shd w:val="clear" w:color="auto" w:fill="auto"/>
            <w:noWrap/>
            <w:vAlign w:val="center"/>
          </w:tcPr>
          <w:p w:rsidR="00DA4FFF" w:rsidRPr="00DA4FFF" w:rsidRDefault="00DA4FFF" w:rsidP="00DA4FFF">
            <w:pPr>
              <w:jc w:val="center"/>
              <w:rPr>
                <w:sz w:val="20"/>
                <w:szCs w:val="20"/>
              </w:rPr>
            </w:pPr>
            <w:r w:rsidRPr="00DA4FFF">
              <w:rPr>
                <w:sz w:val="20"/>
                <w:szCs w:val="20"/>
              </w:rPr>
              <w:t>1,187</w:t>
            </w:r>
          </w:p>
        </w:tc>
        <w:tc>
          <w:tcPr>
            <w:tcW w:w="873" w:type="dxa"/>
            <w:vAlign w:val="center"/>
          </w:tcPr>
          <w:p w:rsidR="00DA4FFF" w:rsidRPr="00DA4FFF" w:rsidRDefault="00DA4FFF" w:rsidP="00DA4FFF">
            <w:pPr>
              <w:jc w:val="center"/>
              <w:rPr>
                <w:sz w:val="20"/>
                <w:szCs w:val="20"/>
              </w:rPr>
            </w:pPr>
            <w:r w:rsidRPr="00DA4FFF">
              <w:rPr>
                <w:sz w:val="20"/>
                <w:szCs w:val="20"/>
              </w:rPr>
              <w:t>4,07</w:t>
            </w:r>
          </w:p>
        </w:tc>
        <w:tc>
          <w:tcPr>
            <w:tcW w:w="0" w:type="auto"/>
            <w:shd w:val="clear" w:color="auto" w:fill="auto"/>
            <w:noWrap/>
            <w:vAlign w:val="center"/>
          </w:tcPr>
          <w:p w:rsidR="00DA4FFF" w:rsidRPr="00DA4FFF" w:rsidRDefault="00DA4FFF" w:rsidP="00DA4FFF">
            <w:pPr>
              <w:jc w:val="center"/>
              <w:rPr>
                <w:sz w:val="20"/>
                <w:szCs w:val="20"/>
              </w:rPr>
            </w:pPr>
            <w:r w:rsidRPr="00DA4FFF">
              <w:rPr>
                <w:sz w:val="20"/>
                <w:szCs w:val="20"/>
              </w:rPr>
              <w:t>3,90</w:t>
            </w:r>
          </w:p>
        </w:tc>
      </w:tr>
      <w:tr w:rsidR="00DA4FFF" w:rsidRPr="00DA4FFF" w:rsidTr="005B001D">
        <w:trPr>
          <w:trHeight w:val="170"/>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Nas proximidades há lugar para lazer (que me atende)</w:t>
            </w:r>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1,88</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1,167</w:t>
            </w:r>
          </w:p>
        </w:tc>
        <w:tc>
          <w:tcPr>
            <w:tcW w:w="873" w:type="dxa"/>
            <w:vAlign w:val="center"/>
          </w:tcPr>
          <w:p w:rsidR="00DA4FFF" w:rsidRPr="00DA4FFF" w:rsidRDefault="00DA4FFF" w:rsidP="00DA4FFF">
            <w:pPr>
              <w:jc w:val="center"/>
              <w:rPr>
                <w:sz w:val="20"/>
                <w:szCs w:val="20"/>
              </w:rPr>
            </w:pPr>
            <w:r w:rsidRPr="00DA4FFF">
              <w:rPr>
                <w:sz w:val="20"/>
                <w:szCs w:val="20"/>
              </w:rPr>
              <w:t>1,98</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1,83</w:t>
            </w:r>
          </w:p>
        </w:tc>
      </w:tr>
      <w:tr w:rsidR="00DA4FFF" w:rsidRPr="00DA4FFF" w:rsidTr="005B001D">
        <w:trPr>
          <w:trHeight w:val="103"/>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Possui PSF (acesso ao SUS) nas proximidades.</w:t>
            </w:r>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3,46</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1,356</w:t>
            </w:r>
          </w:p>
        </w:tc>
        <w:tc>
          <w:tcPr>
            <w:tcW w:w="873" w:type="dxa"/>
            <w:vAlign w:val="center"/>
          </w:tcPr>
          <w:p w:rsidR="00DA4FFF" w:rsidRPr="00DA4FFF" w:rsidRDefault="00DA4FFF" w:rsidP="00DA4FFF">
            <w:pPr>
              <w:jc w:val="center"/>
              <w:rPr>
                <w:sz w:val="20"/>
                <w:szCs w:val="20"/>
              </w:rPr>
            </w:pPr>
            <w:r w:rsidRPr="00DA4FFF">
              <w:rPr>
                <w:sz w:val="20"/>
                <w:szCs w:val="20"/>
              </w:rPr>
              <w:t>3,31</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3,54</w:t>
            </w:r>
          </w:p>
        </w:tc>
      </w:tr>
      <w:tr w:rsidR="00DA4FFF" w:rsidRPr="00DA4FFF" w:rsidTr="005B001D">
        <w:trPr>
          <w:trHeight w:val="103"/>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Possui escola nas proximidades (que me atende)</w:t>
            </w:r>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2,83</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1,334</w:t>
            </w:r>
          </w:p>
        </w:tc>
        <w:tc>
          <w:tcPr>
            <w:tcW w:w="873" w:type="dxa"/>
            <w:vAlign w:val="center"/>
          </w:tcPr>
          <w:p w:rsidR="00DA4FFF" w:rsidRPr="00DA4FFF" w:rsidRDefault="00DA4FFF" w:rsidP="00DA4FFF">
            <w:pPr>
              <w:jc w:val="center"/>
              <w:rPr>
                <w:sz w:val="20"/>
                <w:szCs w:val="20"/>
              </w:rPr>
            </w:pPr>
            <w:r w:rsidRPr="00DA4FFF">
              <w:rPr>
                <w:sz w:val="20"/>
                <w:szCs w:val="20"/>
              </w:rPr>
              <w:t>2,82</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2,84</w:t>
            </w:r>
          </w:p>
        </w:tc>
      </w:tr>
      <w:tr w:rsidR="00DA4FFF" w:rsidRPr="00DA4FFF" w:rsidTr="005B001D">
        <w:trPr>
          <w:trHeight w:val="218"/>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 xml:space="preserve">A qualidade do sinal de telefonia e internet </w:t>
            </w:r>
            <w:proofErr w:type="gramStart"/>
            <w:r w:rsidRPr="00DA4FFF">
              <w:rPr>
                <w:sz w:val="20"/>
                <w:szCs w:val="20"/>
              </w:rPr>
              <w:t>é satisfatório</w:t>
            </w:r>
            <w:proofErr w:type="gramEnd"/>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3,88</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1,216</w:t>
            </w:r>
          </w:p>
        </w:tc>
        <w:tc>
          <w:tcPr>
            <w:tcW w:w="873" w:type="dxa"/>
            <w:vAlign w:val="center"/>
          </w:tcPr>
          <w:p w:rsidR="00DA4FFF" w:rsidRPr="00DA4FFF" w:rsidRDefault="00DA4FFF" w:rsidP="00DA4FFF">
            <w:pPr>
              <w:jc w:val="center"/>
              <w:rPr>
                <w:sz w:val="20"/>
                <w:szCs w:val="20"/>
              </w:rPr>
            </w:pPr>
            <w:r w:rsidRPr="00DA4FFF">
              <w:rPr>
                <w:sz w:val="20"/>
                <w:szCs w:val="20"/>
              </w:rPr>
              <w:t>3,87</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3,88</w:t>
            </w:r>
          </w:p>
        </w:tc>
      </w:tr>
      <w:tr w:rsidR="00DA4FFF" w:rsidRPr="00DA4FFF" w:rsidTr="005B001D">
        <w:trPr>
          <w:trHeight w:val="170"/>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O serviço básico de correios demorou a ser normalizado</w:t>
            </w:r>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3,60</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1,604</w:t>
            </w:r>
          </w:p>
        </w:tc>
        <w:tc>
          <w:tcPr>
            <w:tcW w:w="873" w:type="dxa"/>
            <w:vAlign w:val="center"/>
          </w:tcPr>
          <w:p w:rsidR="00DA4FFF" w:rsidRPr="00DA4FFF" w:rsidRDefault="00DA4FFF" w:rsidP="00DA4FFF">
            <w:pPr>
              <w:jc w:val="center"/>
              <w:rPr>
                <w:sz w:val="20"/>
                <w:szCs w:val="20"/>
              </w:rPr>
            </w:pPr>
            <w:r w:rsidRPr="00DA4FFF">
              <w:rPr>
                <w:sz w:val="20"/>
                <w:szCs w:val="20"/>
              </w:rPr>
              <w:t>3,68</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3,55</w:t>
            </w:r>
          </w:p>
        </w:tc>
      </w:tr>
      <w:tr w:rsidR="00DA4FFF" w:rsidRPr="00DA4FFF" w:rsidTr="005B001D">
        <w:trPr>
          <w:trHeight w:val="170"/>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Atualmente o serviço de entrega dos correios é satisfatório</w:t>
            </w:r>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3,36</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1,777</w:t>
            </w:r>
          </w:p>
        </w:tc>
        <w:tc>
          <w:tcPr>
            <w:tcW w:w="873" w:type="dxa"/>
            <w:vAlign w:val="center"/>
          </w:tcPr>
          <w:p w:rsidR="00DA4FFF" w:rsidRPr="00DA4FFF" w:rsidRDefault="00DA4FFF" w:rsidP="00DA4FFF">
            <w:pPr>
              <w:jc w:val="center"/>
              <w:rPr>
                <w:sz w:val="20"/>
                <w:szCs w:val="20"/>
              </w:rPr>
            </w:pPr>
            <w:r w:rsidRPr="00DA4FFF">
              <w:rPr>
                <w:sz w:val="20"/>
                <w:szCs w:val="20"/>
              </w:rPr>
              <w:t>3,60</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3,21</w:t>
            </w:r>
          </w:p>
        </w:tc>
      </w:tr>
      <w:tr w:rsidR="00DA4FFF" w:rsidRPr="00DA4FFF" w:rsidTr="005B001D">
        <w:trPr>
          <w:trHeight w:val="103"/>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Tenho boa convivência com os vizinhos</w:t>
            </w:r>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4,28</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0,883</w:t>
            </w:r>
          </w:p>
        </w:tc>
        <w:tc>
          <w:tcPr>
            <w:tcW w:w="873" w:type="dxa"/>
            <w:vAlign w:val="center"/>
          </w:tcPr>
          <w:p w:rsidR="00DA4FFF" w:rsidRPr="00DA4FFF" w:rsidRDefault="00DA4FFF" w:rsidP="00DA4FFF">
            <w:pPr>
              <w:jc w:val="center"/>
              <w:rPr>
                <w:sz w:val="20"/>
                <w:szCs w:val="20"/>
              </w:rPr>
            </w:pPr>
            <w:r w:rsidRPr="00DA4FFF">
              <w:rPr>
                <w:sz w:val="20"/>
                <w:szCs w:val="20"/>
              </w:rPr>
              <w:t>4,24</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4,31</w:t>
            </w:r>
          </w:p>
        </w:tc>
      </w:tr>
      <w:tr w:rsidR="00DA4FFF" w:rsidRPr="00DA4FFF" w:rsidTr="005B001D">
        <w:trPr>
          <w:trHeight w:val="103"/>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Estou satisfeito com a localização da nova casa</w:t>
            </w:r>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4,25</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0,946</w:t>
            </w:r>
          </w:p>
        </w:tc>
        <w:tc>
          <w:tcPr>
            <w:tcW w:w="873" w:type="dxa"/>
            <w:vAlign w:val="center"/>
          </w:tcPr>
          <w:p w:rsidR="00DA4FFF" w:rsidRPr="00DA4FFF" w:rsidRDefault="00DA4FFF" w:rsidP="00DA4FFF">
            <w:pPr>
              <w:jc w:val="center"/>
              <w:rPr>
                <w:sz w:val="20"/>
                <w:szCs w:val="20"/>
              </w:rPr>
            </w:pPr>
            <w:r w:rsidRPr="00DA4FFF">
              <w:rPr>
                <w:sz w:val="20"/>
                <w:szCs w:val="20"/>
              </w:rPr>
              <w:t>4,31</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4,21</w:t>
            </w:r>
          </w:p>
        </w:tc>
      </w:tr>
      <w:tr w:rsidR="00DA4FFF" w:rsidRPr="00DA4FFF" w:rsidTr="005B001D">
        <w:trPr>
          <w:trHeight w:val="103"/>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Nas proximidades há creche (que me atende)</w:t>
            </w:r>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2,57</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0,857</w:t>
            </w:r>
          </w:p>
        </w:tc>
        <w:tc>
          <w:tcPr>
            <w:tcW w:w="873" w:type="dxa"/>
            <w:vAlign w:val="center"/>
          </w:tcPr>
          <w:p w:rsidR="00DA4FFF" w:rsidRPr="00DA4FFF" w:rsidRDefault="00DA4FFF" w:rsidP="00DA4FFF">
            <w:pPr>
              <w:jc w:val="center"/>
              <w:rPr>
                <w:sz w:val="20"/>
                <w:szCs w:val="20"/>
              </w:rPr>
            </w:pPr>
            <w:r w:rsidRPr="00DA4FFF">
              <w:rPr>
                <w:sz w:val="20"/>
                <w:szCs w:val="20"/>
              </w:rPr>
              <w:t>2,61</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2,55</w:t>
            </w:r>
          </w:p>
        </w:tc>
      </w:tr>
      <w:tr w:rsidR="00DA4FFF" w:rsidRPr="00DA4FFF" w:rsidTr="005B001D">
        <w:trPr>
          <w:trHeight w:val="170"/>
        </w:trPr>
        <w:tc>
          <w:tcPr>
            <w:tcW w:w="5709" w:type="dxa"/>
            <w:shd w:val="clear" w:color="auto" w:fill="auto"/>
            <w:vAlign w:val="bottom"/>
            <w:hideMark/>
          </w:tcPr>
          <w:p w:rsidR="00DA4FFF" w:rsidRPr="00DA4FFF" w:rsidRDefault="00DA4FFF" w:rsidP="00DA4FFF">
            <w:pPr>
              <w:rPr>
                <w:sz w:val="20"/>
                <w:szCs w:val="20"/>
              </w:rPr>
            </w:pPr>
            <w:r w:rsidRPr="00DA4FFF">
              <w:rPr>
                <w:sz w:val="20"/>
                <w:szCs w:val="20"/>
              </w:rPr>
              <w:t xml:space="preserve">Os pontos de comércio nas proximidades </w:t>
            </w:r>
            <w:proofErr w:type="gramStart"/>
            <w:r w:rsidRPr="00DA4FFF">
              <w:rPr>
                <w:sz w:val="20"/>
                <w:szCs w:val="20"/>
              </w:rPr>
              <w:t>é satisfatório</w:t>
            </w:r>
            <w:proofErr w:type="gramEnd"/>
          </w:p>
        </w:tc>
        <w:tc>
          <w:tcPr>
            <w:tcW w:w="878" w:type="dxa"/>
            <w:shd w:val="clear" w:color="auto" w:fill="auto"/>
            <w:noWrap/>
            <w:vAlign w:val="center"/>
            <w:hideMark/>
          </w:tcPr>
          <w:p w:rsidR="00DA4FFF" w:rsidRPr="00DA4FFF" w:rsidRDefault="00DA4FFF" w:rsidP="00DA4FFF">
            <w:pPr>
              <w:jc w:val="center"/>
              <w:rPr>
                <w:sz w:val="20"/>
                <w:szCs w:val="20"/>
              </w:rPr>
            </w:pPr>
            <w:r w:rsidRPr="00DA4FFF">
              <w:rPr>
                <w:sz w:val="20"/>
                <w:szCs w:val="20"/>
              </w:rPr>
              <w:t>2,84</w:t>
            </w:r>
          </w:p>
        </w:tc>
        <w:tc>
          <w:tcPr>
            <w:tcW w:w="854" w:type="dxa"/>
            <w:shd w:val="clear" w:color="auto" w:fill="auto"/>
            <w:noWrap/>
            <w:vAlign w:val="center"/>
            <w:hideMark/>
          </w:tcPr>
          <w:p w:rsidR="00DA4FFF" w:rsidRPr="00DA4FFF" w:rsidRDefault="00DA4FFF" w:rsidP="00DA4FFF">
            <w:pPr>
              <w:jc w:val="center"/>
              <w:rPr>
                <w:sz w:val="20"/>
                <w:szCs w:val="20"/>
              </w:rPr>
            </w:pPr>
            <w:r w:rsidRPr="00DA4FFF">
              <w:rPr>
                <w:sz w:val="20"/>
                <w:szCs w:val="20"/>
              </w:rPr>
              <w:t>1,355</w:t>
            </w:r>
          </w:p>
        </w:tc>
        <w:tc>
          <w:tcPr>
            <w:tcW w:w="873" w:type="dxa"/>
            <w:vAlign w:val="center"/>
          </w:tcPr>
          <w:p w:rsidR="00DA4FFF" w:rsidRPr="00DA4FFF" w:rsidRDefault="00DA4FFF" w:rsidP="00DA4FFF">
            <w:pPr>
              <w:jc w:val="center"/>
              <w:rPr>
                <w:sz w:val="20"/>
                <w:szCs w:val="20"/>
              </w:rPr>
            </w:pPr>
            <w:r w:rsidRPr="00DA4FFF">
              <w:rPr>
                <w:sz w:val="20"/>
                <w:szCs w:val="20"/>
              </w:rPr>
              <w:t>2,88</w:t>
            </w:r>
          </w:p>
        </w:tc>
        <w:tc>
          <w:tcPr>
            <w:tcW w:w="0" w:type="auto"/>
            <w:shd w:val="clear" w:color="auto" w:fill="auto"/>
            <w:noWrap/>
            <w:vAlign w:val="center"/>
            <w:hideMark/>
          </w:tcPr>
          <w:p w:rsidR="00DA4FFF" w:rsidRPr="00DA4FFF" w:rsidRDefault="00DA4FFF" w:rsidP="00DA4FFF">
            <w:pPr>
              <w:jc w:val="center"/>
              <w:rPr>
                <w:sz w:val="20"/>
                <w:szCs w:val="20"/>
              </w:rPr>
            </w:pPr>
            <w:r w:rsidRPr="00DA4FFF">
              <w:rPr>
                <w:sz w:val="20"/>
                <w:szCs w:val="20"/>
              </w:rPr>
              <w:t>2,82</w:t>
            </w:r>
          </w:p>
        </w:tc>
      </w:tr>
      <w:tr w:rsidR="00DA4FFF" w:rsidRPr="00DA4FFF" w:rsidTr="005B001D">
        <w:trPr>
          <w:trHeight w:val="103"/>
        </w:trPr>
        <w:tc>
          <w:tcPr>
            <w:tcW w:w="5709" w:type="dxa"/>
            <w:tcBorders>
              <w:bottom w:val="single" w:sz="4" w:space="0" w:color="auto"/>
            </w:tcBorders>
            <w:shd w:val="clear" w:color="auto" w:fill="auto"/>
            <w:noWrap/>
            <w:vAlign w:val="center"/>
            <w:hideMark/>
          </w:tcPr>
          <w:p w:rsidR="00DA4FFF" w:rsidRPr="00DA4FFF" w:rsidRDefault="00DA4FFF" w:rsidP="00DA4FFF">
            <w:pPr>
              <w:rPr>
                <w:b/>
                <w:sz w:val="20"/>
                <w:szCs w:val="20"/>
              </w:rPr>
            </w:pPr>
            <w:r w:rsidRPr="00DA4FFF">
              <w:rPr>
                <w:b/>
                <w:sz w:val="20"/>
                <w:szCs w:val="20"/>
              </w:rPr>
              <w:t>Escore de satisfação em relação ao entorno e acesso aos serviços públicos</w:t>
            </w:r>
          </w:p>
        </w:tc>
        <w:tc>
          <w:tcPr>
            <w:tcW w:w="878" w:type="dxa"/>
            <w:tcBorders>
              <w:bottom w:val="single" w:sz="4" w:space="0" w:color="auto"/>
            </w:tcBorders>
            <w:shd w:val="clear" w:color="auto" w:fill="auto"/>
            <w:noWrap/>
            <w:vAlign w:val="center"/>
            <w:hideMark/>
          </w:tcPr>
          <w:p w:rsidR="00DA4FFF" w:rsidRPr="00DA4FFF" w:rsidRDefault="00DA4FFF" w:rsidP="00DA4FFF">
            <w:pPr>
              <w:jc w:val="center"/>
              <w:rPr>
                <w:b/>
                <w:sz w:val="20"/>
                <w:szCs w:val="20"/>
              </w:rPr>
            </w:pPr>
            <w:r w:rsidRPr="00DA4FFF">
              <w:rPr>
                <w:b/>
                <w:sz w:val="20"/>
                <w:szCs w:val="20"/>
              </w:rPr>
              <w:t>3,36</w:t>
            </w:r>
          </w:p>
        </w:tc>
        <w:tc>
          <w:tcPr>
            <w:tcW w:w="854" w:type="dxa"/>
            <w:tcBorders>
              <w:bottom w:val="single" w:sz="4" w:space="0" w:color="auto"/>
            </w:tcBorders>
            <w:shd w:val="clear" w:color="auto" w:fill="auto"/>
            <w:noWrap/>
            <w:vAlign w:val="center"/>
            <w:hideMark/>
          </w:tcPr>
          <w:p w:rsidR="00DA4FFF" w:rsidRPr="00DA4FFF" w:rsidRDefault="00DA4FFF" w:rsidP="00DA4FFF">
            <w:pPr>
              <w:jc w:val="center"/>
              <w:rPr>
                <w:b/>
                <w:sz w:val="20"/>
                <w:szCs w:val="20"/>
              </w:rPr>
            </w:pPr>
          </w:p>
        </w:tc>
        <w:tc>
          <w:tcPr>
            <w:tcW w:w="873" w:type="dxa"/>
            <w:tcBorders>
              <w:bottom w:val="single" w:sz="4" w:space="0" w:color="auto"/>
            </w:tcBorders>
            <w:vAlign w:val="center"/>
          </w:tcPr>
          <w:p w:rsidR="00DA4FFF" w:rsidRPr="00DA4FFF" w:rsidRDefault="00DA4FFF" w:rsidP="00DA4FFF">
            <w:pPr>
              <w:jc w:val="center"/>
              <w:rPr>
                <w:b/>
                <w:sz w:val="20"/>
                <w:szCs w:val="20"/>
              </w:rPr>
            </w:pPr>
            <w:r w:rsidRPr="00DA4FFF">
              <w:rPr>
                <w:b/>
                <w:sz w:val="20"/>
                <w:szCs w:val="20"/>
              </w:rPr>
              <w:t>3,40</w:t>
            </w:r>
          </w:p>
        </w:tc>
        <w:tc>
          <w:tcPr>
            <w:tcW w:w="0" w:type="auto"/>
            <w:tcBorders>
              <w:bottom w:val="single" w:sz="4" w:space="0" w:color="auto"/>
            </w:tcBorders>
            <w:shd w:val="clear" w:color="auto" w:fill="auto"/>
            <w:noWrap/>
            <w:vAlign w:val="center"/>
            <w:hideMark/>
          </w:tcPr>
          <w:p w:rsidR="00DA4FFF" w:rsidRPr="00DA4FFF" w:rsidRDefault="00DA4FFF" w:rsidP="00DA4FFF">
            <w:pPr>
              <w:jc w:val="center"/>
              <w:rPr>
                <w:b/>
                <w:sz w:val="20"/>
                <w:szCs w:val="20"/>
              </w:rPr>
            </w:pPr>
            <w:r w:rsidRPr="00DA4FFF">
              <w:rPr>
                <w:b/>
                <w:sz w:val="20"/>
                <w:szCs w:val="20"/>
              </w:rPr>
              <w:t>3,33</w:t>
            </w:r>
          </w:p>
        </w:tc>
      </w:tr>
      <w:tr w:rsidR="00F6033F" w:rsidRPr="00DA4FFF" w:rsidTr="009817B1">
        <w:trPr>
          <w:trHeight w:val="103"/>
        </w:trPr>
        <w:tc>
          <w:tcPr>
            <w:tcW w:w="0" w:type="auto"/>
            <w:gridSpan w:val="5"/>
            <w:tcBorders>
              <w:top w:val="single" w:sz="4" w:space="0" w:color="auto"/>
              <w:bottom w:val="nil"/>
            </w:tcBorders>
            <w:shd w:val="clear" w:color="auto" w:fill="auto"/>
            <w:noWrap/>
            <w:vAlign w:val="center"/>
          </w:tcPr>
          <w:p w:rsidR="00F6033F" w:rsidRPr="00F6033F" w:rsidRDefault="00F6033F" w:rsidP="00F6033F">
            <w:pPr>
              <w:rPr>
                <w:sz w:val="20"/>
                <w:szCs w:val="20"/>
              </w:rPr>
            </w:pPr>
            <w:r w:rsidRPr="00DA4FFF">
              <w:rPr>
                <w:sz w:val="20"/>
                <w:szCs w:val="20"/>
              </w:rPr>
              <w:t>Fonte</w:t>
            </w:r>
            <w:r>
              <w:rPr>
                <w:sz w:val="20"/>
                <w:szCs w:val="20"/>
              </w:rPr>
              <w:t>: Resultados da Pesquisa (2017)</w:t>
            </w:r>
          </w:p>
        </w:tc>
      </w:tr>
    </w:tbl>
    <w:p w:rsidR="00342C4E" w:rsidRDefault="00342C4E" w:rsidP="007F5BD6">
      <w:pPr>
        <w:spacing w:before="120" w:after="120"/>
        <w:jc w:val="center"/>
        <w:rPr>
          <w:sz w:val="20"/>
          <w:szCs w:val="20"/>
        </w:rPr>
      </w:pPr>
      <w:r w:rsidRPr="00DA4FFF">
        <w:rPr>
          <w:sz w:val="20"/>
          <w:szCs w:val="20"/>
        </w:rPr>
        <w:t xml:space="preserve">Tabela </w:t>
      </w:r>
      <w:r w:rsidRPr="00DA4FFF">
        <w:rPr>
          <w:sz w:val="20"/>
          <w:szCs w:val="20"/>
        </w:rPr>
        <w:fldChar w:fldCharType="begin"/>
      </w:r>
      <w:r w:rsidRPr="00DA4FFF">
        <w:rPr>
          <w:sz w:val="20"/>
          <w:szCs w:val="20"/>
        </w:rPr>
        <w:instrText xml:space="preserve"> SEQ Tabela \* ARABIC </w:instrText>
      </w:r>
      <w:r w:rsidRPr="00DA4FFF">
        <w:rPr>
          <w:sz w:val="20"/>
          <w:szCs w:val="20"/>
        </w:rPr>
        <w:fldChar w:fldCharType="separate"/>
      </w:r>
      <w:r w:rsidRPr="00DA4FFF">
        <w:rPr>
          <w:noProof/>
          <w:sz w:val="20"/>
          <w:szCs w:val="20"/>
        </w:rPr>
        <w:t>8</w:t>
      </w:r>
      <w:r w:rsidRPr="00DA4FFF">
        <w:rPr>
          <w:noProof/>
          <w:sz w:val="20"/>
          <w:szCs w:val="20"/>
        </w:rPr>
        <w:fldChar w:fldCharType="end"/>
      </w:r>
      <w:r w:rsidRPr="00DA4FFF">
        <w:rPr>
          <w:sz w:val="20"/>
          <w:szCs w:val="20"/>
        </w:rPr>
        <w:t>- Satisfação em relação ao entorno e acesso aos serviços públicos</w:t>
      </w:r>
    </w:p>
    <w:p w:rsidR="00DA4FFF" w:rsidRPr="00DA4FFF" w:rsidRDefault="00DA4FFF" w:rsidP="00DA4FFF">
      <w:pPr>
        <w:jc w:val="both"/>
        <w:rPr>
          <w:sz w:val="20"/>
          <w:szCs w:val="20"/>
        </w:rPr>
      </w:pPr>
    </w:p>
    <w:p w:rsidR="00DA4FFF" w:rsidRPr="00DA4FFF" w:rsidRDefault="00DA4FFF" w:rsidP="00DA4FFF">
      <w:pPr>
        <w:spacing w:after="120"/>
        <w:jc w:val="both"/>
      </w:pPr>
      <w:r w:rsidRPr="00DA4FFF">
        <w:rPr>
          <w:rFonts w:eastAsiaTheme="minorHAnsi"/>
          <w:lang w:eastAsia="en-US"/>
        </w:rPr>
        <w:t xml:space="preserve">Observando a Tabela 8, percebe-se que não há diferença significativa entre a percepção de homens e mulheres. Embora, de forma geral, os escores não representam insatisfação, é preciso levar em consideração que há lugares, como o bairro Residencial Liberdade e Saturnino Pereira </w:t>
      </w:r>
      <w:proofErr w:type="gramStart"/>
      <w:r w:rsidRPr="00DA4FFF">
        <w:rPr>
          <w:rFonts w:eastAsiaTheme="minorHAnsi"/>
          <w:lang w:eastAsia="en-US"/>
        </w:rPr>
        <w:t>3</w:t>
      </w:r>
      <w:proofErr w:type="gramEnd"/>
      <w:r w:rsidRPr="00DA4FFF">
        <w:rPr>
          <w:rFonts w:eastAsiaTheme="minorHAnsi"/>
          <w:lang w:eastAsia="en-US"/>
        </w:rPr>
        <w:t xml:space="preserve">, que o serviço de correios ainda não foi regularizado, conforme apontado pelo respondente </w:t>
      </w:r>
      <w:r w:rsidRPr="00DA4FFF">
        <w:t xml:space="preserve">194 (Bairro Residencial Liberdade): </w:t>
      </w:r>
      <w:r w:rsidRPr="00DA4FFF">
        <w:rPr>
          <w:i/>
        </w:rPr>
        <w:t>“Moro neste endereço há mais de dois anos e até hoje não tem serviço de correios no bairro”;</w:t>
      </w:r>
      <w:r w:rsidRPr="00DA4FFF">
        <w:t xml:space="preserve"> e o respondente 8 (bairro Saturnino Pereira): “</w:t>
      </w:r>
      <w:r w:rsidRPr="00DA4FFF">
        <w:rPr>
          <w:i/>
        </w:rPr>
        <w:t>Não tem serviço de correios, precisamos buscar na agência</w:t>
      </w:r>
      <w:r w:rsidRPr="00DA4FFF">
        <w:t>”.</w:t>
      </w:r>
    </w:p>
    <w:p w:rsidR="00DA4FFF" w:rsidRPr="00DA4FFF" w:rsidRDefault="00DA4FFF" w:rsidP="00DA4FFF">
      <w:pPr>
        <w:spacing w:after="120"/>
        <w:jc w:val="both"/>
        <w:rPr>
          <w:i/>
        </w:rPr>
      </w:pPr>
      <w:r w:rsidRPr="00DA4FFF">
        <w:rPr>
          <w:bCs/>
        </w:rPr>
        <w:t xml:space="preserve">Outro fator relevante é o distanciamento dos serviços básicos de educação, creche e estabelecimento de ensino. Os escores apontados na pesquisa foram de 2,57 e 2,83, conforme Tabela 8, respectivamente, evidenciando o distanciamento destes estabelecimentos, conforme destacou o respondente </w:t>
      </w:r>
      <w:r w:rsidRPr="00DA4FFF">
        <w:t>24, morador do Bairro Saturnino Pereira: “</w:t>
      </w:r>
      <w:r w:rsidRPr="00DA4FFF">
        <w:rPr>
          <w:i/>
        </w:rPr>
        <w:t>Não temos creche para deixar as crianças, é preciso pagar para vizinhas, cuidadoras e, sai caro”.</w:t>
      </w:r>
    </w:p>
    <w:p w:rsidR="00DA4FFF" w:rsidRPr="00DA4FFF" w:rsidRDefault="00DA4FFF" w:rsidP="00DA4FFF">
      <w:pPr>
        <w:spacing w:after="120"/>
        <w:jc w:val="both"/>
      </w:pPr>
      <w:r w:rsidRPr="00DA4FFF">
        <w:t xml:space="preserve">Ao associar a satisfação ao local de moradia, constatou-se que os moradores do Bairro Saturnino Pereira, de modo geral, estão mais insatisfeitos, apresentando escore (3,11), próximo de (indiferente), conforme Tabela 9. Isso pode estar associado ao fato de que a contratação da construtora ocorreu por meio de processo licitatório, visto que o terreno era público. Nesse sentido, a construtora tem como foco o projeto em si e tende a trabalhar com projeto padrão, conforme evidenciado na pesquisa pelo </w:t>
      </w:r>
      <w:proofErr w:type="gramStart"/>
      <w:r w:rsidRPr="00DA4FFF">
        <w:t>participante 23</w:t>
      </w:r>
      <w:proofErr w:type="gramEnd"/>
      <w:r w:rsidRPr="00DA4FFF">
        <w:t>: “</w:t>
      </w:r>
      <w:r w:rsidRPr="00DA4FFF">
        <w:rPr>
          <w:i/>
        </w:rPr>
        <w:t>A construtora não permitia nem visitas durante a obra, que dirá mais negociar algum item de acabamento</w:t>
      </w:r>
      <w:r w:rsidRPr="00DA4FFF">
        <w:t xml:space="preserve">”. Essa postura mais rígida, pode estar associado </w:t>
      </w:r>
      <w:proofErr w:type="gramStart"/>
      <w:r w:rsidRPr="00DA4FFF">
        <w:t>a</w:t>
      </w:r>
      <w:proofErr w:type="gramEnd"/>
      <w:r w:rsidRPr="00DA4FFF">
        <w:t xml:space="preserve"> seriedade na execução das obras, visto que buscava atender especificamente os requisitos do contrato. </w:t>
      </w:r>
    </w:p>
    <w:p w:rsidR="00DA4FFF" w:rsidRPr="000C6BD2" w:rsidRDefault="00DA4FFF" w:rsidP="00DA4FFF">
      <w:pPr>
        <w:jc w:val="both"/>
      </w:pPr>
    </w:p>
    <w:tbl>
      <w:tblPr>
        <w:tblW w:w="9095" w:type="dxa"/>
        <w:tblBorders>
          <w:top w:val="single" w:sz="4" w:space="0" w:color="auto"/>
          <w:bottom w:val="sing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973"/>
        <w:gridCol w:w="817"/>
        <w:gridCol w:w="817"/>
        <w:gridCol w:w="1497"/>
        <w:gridCol w:w="1361"/>
        <w:gridCol w:w="1361"/>
        <w:gridCol w:w="1269"/>
      </w:tblGrid>
      <w:tr w:rsidR="00DA4FFF" w:rsidRPr="00DA4FFF" w:rsidTr="00342C4E">
        <w:trPr>
          <w:trHeight w:val="290"/>
        </w:trPr>
        <w:tc>
          <w:tcPr>
            <w:tcW w:w="1973" w:type="dxa"/>
            <w:vMerge w:val="restart"/>
            <w:shd w:val="clear" w:color="auto" w:fill="auto"/>
            <w:vAlign w:val="center"/>
          </w:tcPr>
          <w:p w:rsidR="00DA4FFF" w:rsidRPr="00DA4FFF" w:rsidRDefault="00DA4FFF" w:rsidP="00DA4FFF">
            <w:pPr>
              <w:autoSpaceDE w:val="0"/>
              <w:autoSpaceDN w:val="0"/>
              <w:adjustRightInd w:val="0"/>
              <w:jc w:val="center"/>
              <w:rPr>
                <w:rFonts w:eastAsiaTheme="minorHAnsi"/>
                <w:b/>
                <w:sz w:val="20"/>
                <w:szCs w:val="20"/>
                <w:lang w:eastAsia="en-US"/>
              </w:rPr>
            </w:pPr>
          </w:p>
        </w:tc>
        <w:tc>
          <w:tcPr>
            <w:tcW w:w="3131" w:type="dxa"/>
            <w:gridSpan w:val="3"/>
            <w:shd w:val="clear" w:color="auto" w:fill="auto"/>
            <w:noWrap/>
            <w:vAlign w:val="center"/>
          </w:tcPr>
          <w:p w:rsidR="00DA4FFF" w:rsidRPr="00DA4FFF" w:rsidRDefault="00DA4FFF" w:rsidP="00DA4FFF">
            <w:pPr>
              <w:autoSpaceDE w:val="0"/>
              <w:autoSpaceDN w:val="0"/>
              <w:adjustRightInd w:val="0"/>
              <w:jc w:val="center"/>
              <w:rPr>
                <w:rFonts w:eastAsiaTheme="minorHAnsi"/>
                <w:b/>
                <w:sz w:val="20"/>
                <w:szCs w:val="20"/>
                <w:lang w:eastAsia="en-US"/>
              </w:rPr>
            </w:pPr>
            <w:r w:rsidRPr="00DA4FFF">
              <w:rPr>
                <w:rFonts w:eastAsiaTheme="minorHAnsi"/>
                <w:b/>
                <w:sz w:val="20"/>
                <w:szCs w:val="20"/>
                <w:lang w:eastAsia="en-US"/>
              </w:rPr>
              <w:t>Satisfação</w:t>
            </w:r>
          </w:p>
        </w:tc>
        <w:tc>
          <w:tcPr>
            <w:tcW w:w="3991" w:type="dxa"/>
            <w:gridSpan w:val="3"/>
            <w:vAlign w:val="center"/>
          </w:tcPr>
          <w:p w:rsidR="00DA4FFF" w:rsidRPr="00DA4FFF" w:rsidRDefault="00DA4FFF" w:rsidP="00DA4FFF">
            <w:pPr>
              <w:autoSpaceDE w:val="0"/>
              <w:autoSpaceDN w:val="0"/>
              <w:adjustRightInd w:val="0"/>
              <w:jc w:val="center"/>
              <w:rPr>
                <w:rFonts w:eastAsiaTheme="minorHAnsi"/>
                <w:b/>
                <w:sz w:val="20"/>
                <w:szCs w:val="20"/>
                <w:lang w:eastAsia="en-US"/>
              </w:rPr>
            </w:pPr>
            <w:r w:rsidRPr="00DA4FFF">
              <w:rPr>
                <w:rFonts w:eastAsiaTheme="minorHAnsi"/>
                <w:b/>
                <w:sz w:val="20"/>
                <w:szCs w:val="20"/>
                <w:lang w:eastAsia="en-US"/>
              </w:rPr>
              <w:t>Aspectos Sociais</w:t>
            </w:r>
          </w:p>
        </w:tc>
      </w:tr>
      <w:tr w:rsidR="00DA4FFF" w:rsidRPr="00DA4FFF" w:rsidTr="00DA4FFF">
        <w:trPr>
          <w:trHeight w:val="336"/>
        </w:trPr>
        <w:tc>
          <w:tcPr>
            <w:tcW w:w="1973" w:type="dxa"/>
            <w:vMerge/>
            <w:shd w:val="clear" w:color="auto" w:fill="auto"/>
            <w:vAlign w:val="center"/>
          </w:tcPr>
          <w:p w:rsidR="00DA4FFF" w:rsidRPr="00DA4FFF" w:rsidRDefault="00DA4FFF" w:rsidP="00DA4FFF">
            <w:pPr>
              <w:autoSpaceDE w:val="0"/>
              <w:autoSpaceDN w:val="0"/>
              <w:adjustRightInd w:val="0"/>
              <w:jc w:val="center"/>
              <w:rPr>
                <w:rFonts w:eastAsiaTheme="minorHAnsi"/>
                <w:b/>
                <w:sz w:val="20"/>
                <w:szCs w:val="20"/>
                <w:lang w:eastAsia="en-US"/>
              </w:rPr>
            </w:pPr>
          </w:p>
        </w:tc>
        <w:tc>
          <w:tcPr>
            <w:tcW w:w="817" w:type="dxa"/>
            <w:shd w:val="clear" w:color="auto" w:fill="auto"/>
            <w:noWrap/>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Índice Geral</w:t>
            </w:r>
          </w:p>
        </w:tc>
        <w:tc>
          <w:tcPr>
            <w:tcW w:w="817" w:type="dxa"/>
            <w:shd w:val="clear" w:color="auto" w:fill="auto"/>
            <w:noWrap/>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Imóvel</w:t>
            </w:r>
          </w:p>
        </w:tc>
        <w:tc>
          <w:tcPr>
            <w:tcW w:w="1497" w:type="dxa"/>
            <w:shd w:val="clear" w:color="auto" w:fill="auto"/>
            <w:noWrap/>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Entorno e acesso a serviços públicos</w:t>
            </w:r>
          </w:p>
        </w:tc>
        <w:tc>
          <w:tcPr>
            <w:tcW w:w="1361" w:type="dxa"/>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 xml:space="preserve">Renda Mensal inferior </w:t>
            </w:r>
            <w:proofErr w:type="gramStart"/>
            <w:r w:rsidRPr="00DA4FFF">
              <w:rPr>
                <w:rFonts w:eastAsiaTheme="minorHAnsi"/>
                <w:sz w:val="20"/>
                <w:szCs w:val="20"/>
                <w:lang w:eastAsia="en-US"/>
              </w:rPr>
              <w:t>RS1.</w:t>
            </w:r>
            <w:proofErr w:type="gramEnd"/>
            <w:r w:rsidRPr="00DA4FFF">
              <w:rPr>
                <w:rFonts w:eastAsiaTheme="minorHAnsi"/>
                <w:sz w:val="20"/>
                <w:szCs w:val="20"/>
                <w:lang w:eastAsia="en-US"/>
              </w:rPr>
              <w:t>600,00</w:t>
            </w:r>
          </w:p>
        </w:tc>
        <w:tc>
          <w:tcPr>
            <w:tcW w:w="1361" w:type="dxa"/>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Escolaridade máxima ensino fundamental</w:t>
            </w:r>
          </w:p>
        </w:tc>
        <w:tc>
          <w:tcPr>
            <w:tcW w:w="1269" w:type="dxa"/>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rFonts w:eastAsiaTheme="minorHAnsi"/>
                <w:sz w:val="20"/>
                <w:szCs w:val="20"/>
                <w:lang w:eastAsia="en-US"/>
              </w:rPr>
              <w:t>Moradia Anterior Alugada</w:t>
            </w:r>
          </w:p>
        </w:tc>
      </w:tr>
      <w:tr w:rsidR="00DA4FFF" w:rsidRPr="00DA4FFF" w:rsidTr="00DA4FFF">
        <w:trPr>
          <w:trHeight w:val="122"/>
        </w:trPr>
        <w:tc>
          <w:tcPr>
            <w:tcW w:w="1973" w:type="dxa"/>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Bairro Saturnino (87 famílias)</w:t>
            </w:r>
          </w:p>
        </w:tc>
        <w:tc>
          <w:tcPr>
            <w:tcW w:w="817" w:type="dxa"/>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sz w:val="20"/>
                <w:szCs w:val="20"/>
              </w:rPr>
              <w:t>3,15</w:t>
            </w:r>
          </w:p>
        </w:tc>
        <w:tc>
          <w:tcPr>
            <w:tcW w:w="817" w:type="dxa"/>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sz w:val="20"/>
                <w:szCs w:val="20"/>
              </w:rPr>
              <w:t>3,11</w:t>
            </w:r>
          </w:p>
        </w:tc>
        <w:tc>
          <w:tcPr>
            <w:tcW w:w="1497" w:type="dxa"/>
            <w:shd w:val="clear" w:color="auto" w:fill="auto"/>
            <w:noWrap/>
            <w:vAlign w:val="center"/>
            <w:hideMark/>
          </w:tcPr>
          <w:p w:rsidR="00DA4FFF" w:rsidRPr="00DA4FFF" w:rsidRDefault="00DA4FFF" w:rsidP="00DA4FFF">
            <w:pPr>
              <w:autoSpaceDE w:val="0"/>
              <w:autoSpaceDN w:val="0"/>
              <w:adjustRightInd w:val="0"/>
              <w:jc w:val="center"/>
              <w:rPr>
                <w:rFonts w:eastAsiaTheme="minorHAnsi"/>
                <w:sz w:val="20"/>
                <w:szCs w:val="20"/>
                <w:lang w:eastAsia="en-US"/>
              </w:rPr>
            </w:pPr>
            <w:r w:rsidRPr="00DA4FFF">
              <w:rPr>
                <w:sz w:val="20"/>
                <w:szCs w:val="20"/>
              </w:rPr>
              <w:t>3,20</w:t>
            </w:r>
          </w:p>
        </w:tc>
        <w:tc>
          <w:tcPr>
            <w:tcW w:w="1361" w:type="dxa"/>
            <w:vAlign w:val="center"/>
          </w:tcPr>
          <w:p w:rsidR="00DA4FFF" w:rsidRPr="00DA4FFF" w:rsidRDefault="00DA4FFF" w:rsidP="00DA4FFF">
            <w:pPr>
              <w:autoSpaceDE w:val="0"/>
              <w:autoSpaceDN w:val="0"/>
              <w:adjustRightInd w:val="0"/>
              <w:jc w:val="center"/>
              <w:rPr>
                <w:sz w:val="20"/>
                <w:szCs w:val="20"/>
              </w:rPr>
            </w:pPr>
            <w:r w:rsidRPr="00DA4FFF">
              <w:rPr>
                <w:sz w:val="20"/>
                <w:szCs w:val="20"/>
              </w:rPr>
              <w:t>48,28%</w:t>
            </w:r>
          </w:p>
        </w:tc>
        <w:tc>
          <w:tcPr>
            <w:tcW w:w="1361" w:type="dxa"/>
            <w:vAlign w:val="center"/>
          </w:tcPr>
          <w:p w:rsidR="00DA4FFF" w:rsidRPr="00DA4FFF" w:rsidRDefault="00DA4FFF" w:rsidP="00DA4FFF">
            <w:pPr>
              <w:autoSpaceDE w:val="0"/>
              <w:autoSpaceDN w:val="0"/>
              <w:adjustRightInd w:val="0"/>
              <w:jc w:val="center"/>
              <w:rPr>
                <w:sz w:val="20"/>
                <w:szCs w:val="20"/>
              </w:rPr>
            </w:pPr>
            <w:r w:rsidRPr="00DA4FFF">
              <w:rPr>
                <w:sz w:val="20"/>
                <w:szCs w:val="20"/>
              </w:rPr>
              <w:t>41,38%</w:t>
            </w:r>
          </w:p>
        </w:tc>
        <w:tc>
          <w:tcPr>
            <w:tcW w:w="1269" w:type="dxa"/>
            <w:vAlign w:val="center"/>
          </w:tcPr>
          <w:p w:rsidR="00DA4FFF" w:rsidRPr="00DA4FFF" w:rsidRDefault="00DA4FFF" w:rsidP="00DA4FFF">
            <w:pPr>
              <w:autoSpaceDE w:val="0"/>
              <w:autoSpaceDN w:val="0"/>
              <w:adjustRightInd w:val="0"/>
              <w:jc w:val="center"/>
              <w:rPr>
                <w:sz w:val="20"/>
                <w:szCs w:val="20"/>
              </w:rPr>
            </w:pPr>
            <w:r w:rsidRPr="00DA4FFF">
              <w:rPr>
                <w:sz w:val="20"/>
                <w:szCs w:val="20"/>
              </w:rPr>
              <w:t>66,67%</w:t>
            </w:r>
          </w:p>
        </w:tc>
      </w:tr>
      <w:tr w:rsidR="00DA4FFF" w:rsidRPr="00DA4FFF" w:rsidTr="007F5BD6">
        <w:trPr>
          <w:trHeight w:val="179"/>
        </w:trPr>
        <w:tc>
          <w:tcPr>
            <w:tcW w:w="1973" w:type="dxa"/>
            <w:tcBorders>
              <w:bottom w:val="single" w:sz="4" w:space="0" w:color="auto"/>
            </w:tcBorders>
            <w:shd w:val="clear" w:color="auto" w:fill="auto"/>
            <w:vAlign w:val="center"/>
            <w:hideMark/>
          </w:tcPr>
          <w:p w:rsidR="00DA4FFF" w:rsidRPr="00DA4FFF" w:rsidRDefault="00DA4FFF" w:rsidP="00DA4FFF">
            <w:pPr>
              <w:autoSpaceDE w:val="0"/>
              <w:autoSpaceDN w:val="0"/>
              <w:adjustRightInd w:val="0"/>
              <w:rPr>
                <w:rFonts w:eastAsiaTheme="minorHAnsi"/>
                <w:sz w:val="20"/>
                <w:szCs w:val="20"/>
                <w:lang w:eastAsia="en-US"/>
              </w:rPr>
            </w:pPr>
            <w:r w:rsidRPr="00DA4FFF">
              <w:rPr>
                <w:rFonts w:eastAsiaTheme="minorHAnsi"/>
                <w:sz w:val="20"/>
                <w:szCs w:val="20"/>
                <w:lang w:eastAsia="en-US"/>
              </w:rPr>
              <w:t xml:space="preserve">Todos os participantes (230 famílias) </w:t>
            </w:r>
          </w:p>
        </w:tc>
        <w:tc>
          <w:tcPr>
            <w:tcW w:w="817" w:type="dxa"/>
            <w:tcBorders>
              <w:bottom w:val="single" w:sz="4" w:space="0" w:color="auto"/>
            </w:tcBorders>
            <w:shd w:val="clear" w:color="auto" w:fill="auto"/>
            <w:noWrap/>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sz w:val="20"/>
                <w:szCs w:val="20"/>
              </w:rPr>
              <w:t>3,41</w:t>
            </w:r>
          </w:p>
        </w:tc>
        <w:tc>
          <w:tcPr>
            <w:tcW w:w="817" w:type="dxa"/>
            <w:tcBorders>
              <w:bottom w:val="single" w:sz="4" w:space="0" w:color="auto"/>
            </w:tcBorders>
            <w:shd w:val="clear" w:color="auto" w:fill="auto"/>
            <w:noWrap/>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sz w:val="20"/>
                <w:szCs w:val="20"/>
              </w:rPr>
              <w:t>3,46</w:t>
            </w:r>
          </w:p>
        </w:tc>
        <w:tc>
          <w:tcPr>
            <w:tcW w:w="1497" w:type="dxa"/>
            <w:tcBorders>
              <w:bottom w:val="single" w:sz="4" w:space="0" w:color="auto"/>
            </w:tcBorders>
            <w:shd w:val="clear" w:color="auto" w:fill="auto"/>
            <w:noWrap/>
            <w:vAlign w:val="center"/>
          </w:tcPr>
          <w:p w:rsidR="00DA4FFF" w:rsidRPr="00DA4FFF" w:rsidRDefault="00DA4FFF" w:rsidP="00DA4FFF">
            <w:pPr>
              <w:autoSpaceDE w:val="0"/>
              <w:autoSpaceDN w:val="0"/>
              <w:adjustRightInd w:val="0"/>
              <w:jc w:val="center"/>
              <w:rPr>
                <w:rFonts w:eastAsiaTheme="minorHAnsi"/>
                <w:sz w:val="20"/>
                <w:szCs w:val="20"/>
                <w:lang w:eastAsia="en-US"/>
              </w:rPr>
            </w:pPr>
            <w:r w:rsidRPr="00DA4FFF">
              <w:rPr>
                <w:sz w:val="20"/>
                <w:szCs w:val="20"/>
              </w:rPr>
              <w:t>3,36</w:t>
            </w:r>
          </w:p>
        </w:tc>
        <w:tc>
          <w:tcPr>
            <w:tcW w:w="1361" w:type="dxa"/>
            <w:tcBorders>
              <w:bottom w:val="single" w:sz="4" w:space="0" w:color="auto"/>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32,20%</w:t>
            </w:r>
          </w:p>
        </w:tc>
        <w:tc>
          <w:tcPr>
            <w:tcW w:w="1361" w:type="dxa"/>
            <w:tcBorders>
              <w:bottom w:val="single" w:sz="4" w:space="0" w:color="auto"/>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45,66%</w:t>
            </w:r>
          </w:p>
        </w:tc>
        <w:tc>
          <w:tcPr>
            <w:tcW w:w="1269" w:type="dxa"/>
            <w:tcBorders>
              <w:bottom w:val="single" w:sz="4" w:space="0" w:color="auto"/>
            </w:tcBorders>
            <w:vAlign w:val="center"/>
          </w:tcPr>
          <w:p w:rsidR="00DA4FFF" w:rsidRPr="00DA4FFF" w:rsidRDefault="00DA4FFF" w:rsidP="00DA4FFF">
            <w:pPr>
              <w:autoSpaceDE w:val="0"/>
              <w:autoSpaceDN w:val="0"/>
              <w:adjustRightInd w:val="0"/>
              <w:jc w:val="center"/>
              <w:rPr>
                <w:sz w:val="20"/>
                <w:szCs w:val="20"/>
              </w:rPr>
            </w:pPr>
            <w:r w:rsidRPr="00DA4FFF">
              <w:rPr>
                <w:sz w:val="20"/>
                <w:szCs w:val="20"/>
              </w:rPr>
              <w:t>56,52%</w:t>
            </w:r>
          </w:p>
        </w:tc>
      </w:tr>
      <w:tr w:rsidR="007F5BD6" w:rsidRPr="00DA4FFF" w:rsidTr="009817B1">
        <w:trPr>
          <w:trHeight w:val="179"/>
        </w:trPr>
        <w:tc>
          <w:tcPr>
            <w:tcW w:w="9095" w:type="dxa"/>
            <w:gridSpan w:val="7"/>
            <w:tcBorders>
              <w:top w:val="single" w:sz="4" w:space="0" w:color="auto"/>
              <w:bottom w:val="nil"/>
            </w:tcBorders>
            <w:shd w:val="clear" w:color="auto" w:fill="auto"/>
            <w:vAlign w:val="center"/>
          </w:tcPr>
          <w:p w:rsidR="007F5BD6" w:rsidRPr="00DA4FFF" w:rsidRDefault="007F5BD6" w:rsidP="007F5BD6">
            <w:pPr>
              <w:rPr>
                <w:sz w:val="20"/>
                <w:szCs w:val="20"/>
              </w:rPr>
            </w:pPr>
            <w:r w:rsidRPr="00DA4FFF">
              <w:rPr>
                <w:sz w:val="20"/>
                <w:szCs w:val="20"/>
              </w:rPr>
              <w:t>Fonte</w:t>
            </w:r>
            <w:r>
              <w:rPr>
                <w:sz w:val="20"/>
                <w:szCs w:val="20"/>
              </w:rPr>
              <w:t>: Resultados da Pesquisa (2017)</w:t>
            </w:r>
          </w:p>
        </w:tc>
      </w:tr>
    </w:tbl>
    <w:p w:rsidR="00342C4E" w:rsidRDefault="00342C4E" w:rsidP="007F5BD6">
      <w:pPr>
        <w:spacing w:before="120" w:after="120"/>
        <w:jc w:val="center"/>
        <w:rPr>
          <w:sz w:val="20"/>
          <w:szCs w:val="20"/>
        </w:rPr>
      </w:pPr>
      <w:r w:rsidRPr="00DA4FFF">
        <w:rPr>
          <w:sz w:val="20"/>
          <w:szCs w:val="20"/>
        </w:rPr>
        <w:t xml:space="preserve">Tabela </w:t>
      </w:r>
      <w:r w:rsidRPr="00DA4FFF">
        <w:rPr>
          <w:sz w:val="20"/>
          <w:szCs w:val="20"/>
        </w:rPr>
        <w:fldChar w:fldCharType="begin"/>
      </w:r>
      <w:r w:rsidRPr="00DA4FFF">
        <w:rPr>
          <w:sz w:val="20"/>
          <w:szCs w:val="20"/>
        </w:rPr>
        <w:instrText xml:space="preserve"> SEQ Tabela \* ARABIC </w:instrText>
      </w:r>
      <w:r w:rsidRPr="00DA4FFF">
        <w:rPr>
          <w:sz w:val="20"/>
          <w:szCs w:val="20"/>
        </w:rPr>
        <w:fldChar w:fldCharType="separate"/>
      </w:r>
      <w:r w:rsidRPr="00DA4FFF">
        <w:rPr>
          <w:noProof/>
          <w:sz w:val="20"/>
          <w:szCs w:val="20"/>
        </w:rPr>
        <w:t>9</w:t>
      </w:r>
      <w:r w:rsidRPr="00DA4FFF">
        <w:rPr>
          <w:noProof/>
          <w:sz w:val="20"/>
          <w:szCs w:val="20"/>
        </w:rPr>
        <w:fldChar w:fldCharType="end"/>
      </w:r>
      <w:r w:rsidRPr="00DA4FFF">
        <w:rPr>
          <w:sz w:val="20"/>
          <w:szCs w:val="20"/>
        </w:rPr>
        <w:t xml:space="preserve"> - Satisfação X localização</w:t>
      </w:r>
    </w:p>
    <w:p w:rsidR="00DA4FFF" w:rsidRPr="00DA4FFF" w:rsidRDefault="00DA4FFF" w:rsidP="00DA4FFF">
      <w:pPr>
        <w:jc w:val="both"/>
        <w:rPr>
          <w:sz w:val="20"/>
          <w:szCs w:val="20"/>
        </w:rPr>
      </w:pPr>
    </w:p>
    <w:p w:rsidR="00DA4FFF" w:rsidRPr="00DA4FFF" w:rsidRDefault="00DA4FFF" w:rsidP="00DA4FFF">
      <w:pPr>
        <w:spacing w:after="120"/>
        <w:jc w:val="both"/>
      </w:pPr>
      <w:r w:rsidRPr="00DA4FFF">
        <w:t xml:space="preserve">Com o intuito de identificar diferenças significativas entre as médias, procedeu-se à análise por meio de test </w:t>
      </w:r>
      <w:r w:rsidRPr="00DA4FFF">
        <w:rPr>
          <w:i/>
        </w:rPr>
        <w:t>t Student</w:t>
      </w:r>
      <w:r w:rsidRPr="00DA4FFF">
        <w:t xml:space="preserve">, para amostras independentes, tendo em vista que o conjunto de dados da pesquisa apresentou distribuição normal, verificada com base no teste de Kolmogorov-Smirnov, </w:t>
      </w:r>
      <w:r w:rsidRPr="00DA4FFF">
        <w:rPr>
          <w:rFonts w:eastAsiaTheme="minorHAnsi"/>
          <w:lang w:eastAsia="en-US"/>
        </w:rPr>
        <w:t xml:space="preserve">indicado para grande número de observações, como no caso deste estudo (ANDRADE </w:t>
      </w:r>
      <w:proofErr w:type="gramStart"/>
      <w:r w:rsidRPr="00DA4FFF">
        <w:rPr>
          <w:rFonts w:eastAsiaTheme="minorHAnsi"/>
          <w:i/>
          <w:lang w:eastAsia="en-US"/>
        </w:rPr>
        <w:t>et</w:t>
      </w:r>
      <w:proofErr w:type="gramEnd"/>
      <w:r w:rsidRPr="00DA4FFF">
        <w:rPr>
          <w:rFonts w:eastAsiaTheme="minorHAnsi"/>
          <w:i/>
          <w:lang w:eastAsia="en-US"/>
        </w:rPr>
        <w:t xml:space="preserve"> al., </w:t>
      </w:r>
      <w:r w:rsidRPr="00DA4FFF">
        <w:rPr>
          <w:rFonts w:eastAsiaTheme="minorHAnsi"/>
          <w:lang w:eastAsia="en-US"/>
        </w:rPr>
        <w:t>2015)</w:t>
      </w:r>
      <w:r w:rsidRPr="00DA4FFF">
        <w:t>.</w:t>
      </w:r>
    </w:p>
    <w:p w:rsidR="00DA4FFF" w:rsidRDefault="00DA4FFF" w:rsidP="00DA4FFF">
      <w:pPr>
        <w:spacing w:after="120"/>
        <w:jc w:val="both"/>
      </w:pPr>
      <w:r w:rsidRPr="00DA4FFF">
        <w:t xml:space="preserve">Assim, buscou verificar se há diferença estatisticamente significava no escore de satisfação com o imóvel, entre os beneficiários que conseguiram negociar itens de acabamento com a construtora e àqueles que receberam um imóvel padrão; se os beneficiários que promoveram alguma </w:t>
      </w:r>
      <w:proofErr w:type="gramStart"/>
      <w:r w:rsidRPr="00DA4FFF">
        <w:t>reforma</w:t>
      </w:r>
      <w:proofErr w:type="gramEnd"/>
      <w:r w:rsidRPr="00DA4FFF">
        <w:t>/ampliação no imóvel apresenta maior escore de satisfação com a moradia quando comparado com as famílias que mantem conforme entregue pelo programa e, por último se aqueles que recebem bolsa família, estão mais satisfeitos com o imóvel quando comprado com o grupo que não recebem benefício social (Tabela 10).</w:t>
      </w:r>
    </w:p>
    <w:p w:rsidR="007F5BD6" w:rsidRPr="00DA4FFF" w:rsidRDefault="007F5BD6" w:rsidP="00DA4FFF">
      <w:pPr>
        <w:spacing w:after="120"/>
        <w:jc w:val="both"/>
      </w:pP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989"/>
        <w:gridCol w:w="630"/>
        <w:gridCol w:w="620"/>
        <w:gridCol w:w="869"/>
        <w:gridCol w:w="1075"/>
        <w:gridCol w:w="1103"/>
      </w:tblGrid>
      <w:tr w:rsidR="00DA4FFF" w:rsidRPr="00DA4FFF" w:rsidTr="00342C4E">
        <w:trPr>
          <w:trHeight w:val="104"/>
        </w:trPr>
        <w:tc>
          <w:tcPr>
            <w:tcW w:w="2686" w:type="pct"/>
          </w:tcPr>
          <w:p w:rsidR="00DA4FFF" w:rsidRPr="00DA4FFF" w:rsidRDefault="00DA4FFF" w:rsidP="00DA4FFF">
            <w:pPr>
              <w:rPr>
                <w:sz w:val="20"/>
                <w:szCs w:val="20"/>
              </w:rPr>
            </w:pPr>
            <w:r w:rsidRPr="00DA4FFF">
              <w:rPr>
                <w:i/>
                <w:sz w:val="20"/>
                <w:szCs w:val="20"/>
              </w:rPr>
              <w:br w:type="page"/>
            </w:r>
          </w:p>
        </w:tc>
        <w:tc>
          <w:tcPr>
            <w:tcW w:w="339" w:type="pct"/>
          </w:tcPr>
          <w:p w:rsidR="00DA4FFF" w:rsidRPr="00DA4FFF" w:rsidRDefault="00DA4FFF" w:rsidP="00DA4FFF">
            <w:pPr>
              <w:rPr>
                <w:sz w:val="20"/>
                <w:szCs w:val="20"/>
              </w:rPr>
            </w:pPr>
          </w:p>
        </w:tc>
        <w:tc>
          <w:tcPr>
            <w:tcW w:w="334" w:type="pct"/>
            <w:vAlign w:val="center"/>
            <w:hideMark/>
          </w:tcPr>
          <w:p w:rsidR="00DA4FFF" w:rsidRPr="00DA4FFF" w:rsidRDefault="00DA4FFF" w:rsidP="00DA4FFF">
            <w:pPr>
              <w:jc w:val="center"/>
              <w:rPr>
                <w:b/>
                <w:sz w:val="20"/>
                <w:szCs w:val="20"/>
              </w:rPr>
            </w:pPr>
            <w:r w:rsidRPr="00DA4FFF">
              <w:rPr>
                <w:b/>
                <w:sz w:val="20"/>
                <w:szCs w:val="20"/>
              </w:rPr>
              <w:t>N</w:t>
            </w:r>
          </w:p>
        </w:tc>
        <w:tc>
          <w:tcPr>
            <w:tcW w:w="468" w:type="pct"/>
            <w:vAlign w:val="center"/>
            <w:hideMark/>
          </w:tcPr>
          <w:p w:rsidR="00DA4FFF" w:rsidRPr="00DA4FFF" w:rsidRDefault="00DA4FFF" w:rsidP="00DA4FFF">
            <w:pPr>
              <w:jc w:val="center"/>
              <w:rPr>
                <w:b/>
                <w:sz w:val="20"/>
                <w:szCs w:val="20"/>
              </w:rPr>
            </w:pPr>
            <w:r w:rsidRPr="00DA4FFF">
              <w:rPr>
                <w:b/>
                <w:sz w:val="20"/>
                <w:szCs w:val="20"/>
              </w:rPr>
              <w:t>Média</w:t>
            </w:r>
          </w:p>
        </w:tc>
        <w:tc>
          <w:tcPr>
            <w:tcW w:w="579" w:type="pct"/>
            <w:vAlign w:val="center"/>
            <w:hideMark/>
          </w:tcPr>
          <w:p w:rsidR="00DA4FFF" w:rsidRPr="00DA4FFF" w:rsidRDefault="00DA4FFF" w:rsidP="00DA4FFF">
            <w:pPr>
              <w:jc w:val="center"/>
              <w:rPr>
                <w:b/>
                <w:sz w:val="20"/>
                <w:szCs w:val="20"/>
              </w:rPr>
            </w:pPr>
            <w:r w:rsidRPr="00DA4FFF">
              <w:rPr>
                <w:b/>
                <w:sz w:val="20"/>
                <w:szCs w:val="20"/>
              </w:rPr>
              <w:t>Desvio-padrão</w:t>
            </w:r>
          </w:p>
        </w:tc>
        <w:tc>
          <w:tcPr>
            <w:tcW w:w="594" w:type="pct"/>
            <w:vAlign w:val="center"/>
            <w:hideMark/>
          </w:tcPr>
          <w:p w:rsidR="00DA4FFF" w:rsidRPr="00DA4FFF" w:rsidRDefault="00DA4FFF" w:rsidP="00DA4FFF">
            <w:pPr>
              <w:jc w:val="center"/>
              <w:rPr>
                <w:b/>
                <w:sz w:val="20"/>
                <w:szCs w:val="20"/>
              </w:rPr>
            </w:pPr>
            <w:r w:rsidRPr="00DA4FFF">
              <w:rPr>
                <w:b/>
                <w:sz w:val="20"/>
                <w:szCs w:val="20"/>
              </w:rPr>
              <w:t>Valor p (Teste t)</w:t>
            </w:r>
          </w:p>
        </w:tc>
      </w:tr>
      <w:tr w:rsidR="00DA4FFF" w:rsidRPr="00DA4FFF" w:rsidTr="00342C4E">
        <w:trPr>
          <w:trHeight w:val="104"/>
        </w:trPr>
        <w:tc>
          <w:tcPr>
            <w:tcW w:w="2686" w:type="pct"/>
            <w:vMerge w:val="restart"/>
          </w:tcPr>
          <w:p w:rsidR="00DA4FFF" w:rsidRPr="00DA4FFF" w:rsidRDefault="00DA4FFF" w:rsidP="00DA4FFF">
            <w:pPr>
              <w:rPr>
                <w:sz w:val="20"/>
                <w:szCs w:val="20"/>
              </w:rPr>
            </w:pPr>
            <w:r w:rsidRPr="00DA4FFF">
              <w:rPr>
                <w:sz w:val="20"/>
                <w:szCs w:val="20"/>
              </w:rPr>
              <w:t xml:space="preserve">Foi possível negociar algum item de acabamento com a construtora (ii) X Escore de satisfação com o imóvel (i) </w:t>
            </w:r>
            <w:proofErr w:type="gramStart"/>
            <w:r w:rsidRPr="00DA4FFF">
              <w:rPr>
                <w:sz w:val="20"/>
                <w:szCs w:val="20"/>
              </w:rPr>
              <w:t>¹</w:t>
            </w:r>
            <w:proofErr w:type="gramEnd"/>
          </w:p>
        </w:tc>
        <w:tc>
          <w:tcPr>
            <w:tcW w:w="339" w:type="pct"/>
          </w:tcPr>
          <w:p w:rsidR="00DA4FFF" w:rsidRPr="00DA4FFF" w:rsidRDefault="00DA4FFF" w:rsidP="00DA4FFF">
            <w:pPr>
              <w:rPr>
                <w:sz w:val="20"/>
                <w:szCs w:val="20"/>
              </w:rPr>
            </w:pPr>
            <w:r w:rsidRPr="00DA4FFF">
              <w:rPr>
                <w:sz w:val="20"/>
                <w:szCs w:val="20"/>
              </w:rPr>
              <w:t>Não</w:t>
            </w:r>
          </w:p>
        </w:tc>
        <w:tc>
          <w:tcPr>
            <w:tcW w:w="334" w:type="pct"/>
          </w:tcPr>
          <w:p w:rsidR="00DA4FFF" w:rsidRPr="00DA4FFF" w:rsidRDefault="00DA4FFF" w:rsidP="00DA4FFF">
            <w:pPr>
              <w:rPr>
                <w:sz w:val="20"/>
                <w:szCs w:val="20"/>
              </w:rPr>
            </w:pPr>
            <w:r w:rsidRPr="00DA4FFF">
              <w:rPr>
                <w:sz w:val="20"/>
                <w:szCs w:val="20"/>
              </w:rPr>
              <w:t>80</w:t>
            </w:r>
          </w:p>
        </w:tc>
        <w:tc>
          <w:tcPr>
            <w:tcW w:w="468" w:type="pct"/>
          </w:tcPr>
          <w:p w:rsidR="00DA4FFF" w:rsidRPr="00DA4FFF" w:rsidRDefault="00DA4FFF" w:rsidP="00DA4FFF">
            <w:pPr>
              <w:rPr>
                <w:sz w:val="20"/>
                <w:szCs w:val="20"/>
              </w:rPr>
            </w:pPr>
            <w:r w:rsidRPr="00DA4FFF">
              <w:rPr>
                <w:sz w:val="20"/>
                <w:szCs w:val="20"/>
              </w:rPr>
              <w:t>3,344</w:t>
            </w:r>
          </w:p>
        </w:tc>
        <w:tc>
          <w:tcPr>
            <w:tcW w:w="579" w:type="pct"/>
          </w:tcPr>
          <w:p w:rsidR="00DA4FFF" w:rsidRPr="00DA4FFF" w:rsidRDefault="00DA4FFF" w:rsidP="00DA4FFF">
            <w:pPr>
              <w:rPr>
                <w:sz w:val="20"/>
                <w:szCs w:val="20"/>
              </w:rPr>
            </w:pPr>
            <w:r w:rsidRPr="00DA4FFF">
              <w:rPr>
                <w:sz w:val="20"/>
                <w:szCs w:val="20"/>
              </w:rPr>
              <w:t>0,710</w:t>
            </w:r>
          </w:p>
        </w:tc>
        <w:tc>
          <w:tcPr>
            <w:tcW w:w="594" w:type="pct"/>
            <w:vMerge w:val="restart"/>
            <w:vAlign w:val="center"/>
          </w:tcPr>
          <w:p w:rsidR="00DA4FFF" w:rsidRPr="00DA4FFF" w:rsidRDefault="00DA4FFF" w:rsidP="00DA4FFF">
            <w:pPr>
              <w:jc w:val="center"/>
              <w:rPr>
                <w:sz w:val="20"/>
                <w:szCs w:val="20"/>
              </w:rPr>
            </w:pPr>
            <w:r w:rsidRPr="00DA4FFF">
              <w:rPr>
                <w:sz w:val="20"/>
                <w:szCs w:val="20"/>
              </w:rPr>
              <w:t>0,033*</w:t>
            </w:r>
          </w:p>
        </w:tc>
      </w:tr>
      <w:tr w:rsidR="00DA4FFF" w:rsidRPr="00DA4FFF" w:rsidTr="00342C4E">
        <w:trPr>
          <w:trHeight w:val="104"/>
        </w:trPr>
        <w:tc>
          <w:tcPr>
            <w:tcW w:w="2686" w:type="pct"/>
            <w:vMerge/>
            <w:vAlign w:val="center"/>
          </w:tcPr>
          <w:p w:rsidR="00DA4FFF" w:rsidRPr="00DA4FFF" w:rsidRDefault="00DA4FFF" w:rsidP="00DA4FFF">
            <w:pPr>
              <w:rPr>
                <w:sz w:val="20"/>
                <w:szCs w:val="20"/>
              </w:rPr>
            </w:pPr>
          </w:p>
        </w:tc>
        <w:tc>
          <w:tcPr>
            <w:tcW w:w="339" w:type="pct"/>
          </w:tcPr>
          <w:p w:rsidR="00DA4FFF" w:rsidRPr="00DA4FFF" w:rsidRDefault="00DA4FFF" w:rsidP="00DA4FFF">
            <w:pPr>
              <w:rPr>
                <w:sz w:val="20"/>
                <w:szCs w:val="20"/>
              </w:rPr>
            </w:pPr>
            <w:r w:rsidRPr="00DA4FFF">
              <w:rPr>
                <w:sz w:val="20"/>
                <w:szCs w:val="20"/>
              </w:rPr>
              <w:t>Sim</w:t>
            </w:r>
          </w:p>
        </w:tc>
        <w:tc>
          <w:tcPr>
            <w:tcW w:w="334" w:type="pct"/>
          </w:tcPr>
          <w:p w:rsidR="00DA4FFF" w:rsidRPr="00DA4FFF" w:rsidRDefault="00DA4FFF" w:rsidP="00DA4FFF">
            <w:pPr>
              <w:rPr>
                <w:sz w:val="20"/>
                <w:szCs w:val="20"/>
              </w:rPr>
            </w:pPr>
            <w:r w:rsidRPr="00DA4FFF">
              <w:rPr>
                <w:sz w:val="20"/>
                <w:szCs w:val="20"/>
              </w:rPr>
              <w:t>63</w:t>
            </w:r>
          </w:p>
        </w:tc>
        <w:tc>
          <w:tcPr>
            <w:tcW w:w="468" w:type="pct"/>
          </w:tcPr>
          <w:p w:rsidR="00DA4FFF" w:rsidRPr="00DA4FFF" w:rsidRDefault="00DA4FFF" w:rsidP="00DA4FFF">
            <w:pPr>
              <w:rPr>
                <w:sz w:val="20"/>
                <w:szCs w:val="20"/>
              </w:rPr>
            </w:pPr>
            <w:r w:rsidRPr="00DA4FFF">
              <w:rPr>
                <w:sz w:val="20"/>
                <w:szCs w:val="20"/>
              </w:rPr>
              <w:t>3,592</w:t>
            </w:r>
          </w:p>
        </w:tc>
        <w:tc>
          <w:tcPr>
            <w:tcW w:w="579" w:type="pct"/>
          </w:tcPr>
          <w:p w:rsidR="00DA4FFF" w:rsidRPr="00DA4FFF" w:rsidRDefault="00DA4FFF" w:rsidP="00DA4FFF">
            <w:pPr>
              <w:rPr>
                <w:sz w:val="20"/>
                <w:szCs w:val="20"/>
              </w:rPr>
            </w:pPr>
            <w:r w:rsidRPr="00DA4FFF">
              <w:rPr>
                <w:sz w:val="20"/>
                <w:szCs w:val="20"/>
              </w:rPr>
              <w:t>0,625</w:t>
            </w:r>
          </w:p>
        </w:tc>
        <w:tc>
          <w:tcPr>
            <w:tcW w:w="594" w:type="pct"/>
            <w:vMerge/>
            <w:vAlign w:val="center"/>
          </w:tcPr>
          <w:p w:rsidR="00DA4FFF" w:rsidRPr="00DA4FFF" w:rsidRDefault="00DA4FFF" w:rsidP="00DA4FFF">
            <w:pPr>
              <w:jc w:val="center"/>
              <w:rPr>
                <w:sz w:val="20"/>
                <w:szCs w:val="20"/>
              </w:rPr>
            </w:pPr>
          </w:p>
        </w:tc>
      </w:tr>
      <w:tr w:rsidR="00DA4FFF" w:rsidRPr="00DA4FFF" w:rsidTr="00342C4E">
        <w:trPr>
          <w:trHeight w:val="104"/>
        </w:trPr>
        <w:tc>
          <w:tcPr>
            <w:tcW w:w="2686" w:type="pct"/>
            <w:vMerge w:val="restart"/>
            <w:vAlign w:val="center"/>
            <w:hideMark/>
          </w:tcPr>
          <w:p w:rsidR="00DA4FFF" w:rsidRPr="00DA4FFF" w:rsidRDefault="00DA4FFF" w:rsidP="00DA4FFF">
            <w:pPr>
              <w:rPr>
                <w:sz w:val="20"/>
                <w:szCs w:val="20"/>
              </w:rPr>
            </w:pPr>
            <w:r w:rsidRPr="00DA4FFF">
              <w:rPr>
                <w:sz w:val="20"/>
                <w:szCs w:val="20"/>
              </w:rPr>
              <w:t>Fez reforma ou ampliação (iii) X Escore de satisfação com o imóvel (i)</w:t>
            </w:r>
          </w:p>
        </w:tc>
        <w:tc>
          <w:tcPr>
            <w:tcW w:w="339" w:type="pct"/>
            <w:hideMark/>
          </w:tcPr>
          <w:p w:rsidR="00DA4FFF" w:rsidRPr="00DA4FFF" w:rsidRDefault="00DA4FFF" w:rsidP="00DA4FFF">
            <w:pPr>
              <w:rPr>
                <w:sz w:val="20"/>
                <w:szCs w:val="20"/>
              </w:rPr>
            </w:pPr>
            <w:r w:rsidRPr="00DA4FFF">
              <w:rPr>
                <w:sz w:val="20"/>
                <w:szCs w:val="20"/>
              </w:rPr>
              <w:t>Não</w:t>
            </w:r>
          </w:p>
        </w:tc>
        <w:tc>
          <w:tcPr>
            <w:tcW w:w="334" w:type="pct"/>
            <w:hideMark/>
          </w:tcPr>
          <w:p w:rsidR="00DA4FFF" w:rsidRPr="00DA4FFF" w:rsidRDefault="00DA4FFF" w:rsidP="00DA4FFF">
            <w:pPr>
              <w:rPr>
                <w:sz w:val="20"/>
                <w:szCs w:val="20"/>
              </w:rPr>
            </w:pPr>
            <w:r w:rsidRPr="00DA4FFF">
              <w:rPr>
                <w:sz w:val="20"/>
                <w:szCs w:val="20"/>
              </w:rPr>
              <w:t>51</w:t>
            </w:r>
          </w:p>
        </w:tc>
        <w:tc>
          <w:tcPr>
            <w:tcW w:w="468" w:type="pct"/>
            <w:hideMark/>
          </w:tcPr>
          <w:p w:rsidR="00DA4FFF" w:rsidRPr="00DA4FFF" w:rsidRDefault="00DA4FFF" w:rsidP="00DA4FFF">
            <w:pPr>
              <w:rPr>
                <w:sz w:val="20"/>
                <w:szCs w:val="20"/>
              </w:rPr>
            </w:pPr>
            <w:r w:rsidRPr="00DA4FFF">
              <w:rPr>
                <w:sz w:val="20"/>
                <w:szCs w:val="20"/>
              </w:rPr>
              <w:t>3,606</w:t>
            </w:r>
          </w:p>
        </w:tc>
        <w:tc>
          <w:tcPr>
            <w:tcW w:w="579" w:type="pct"/>
            <w:hideMark/>
          </w:tcPr>
          <w:p w:rsidR="00DA4FFF" w:rsidRPr="00DA4FFF" w:rsidRDefault="00DA4FFF" w:rsidP="00DA4FFF">
            <w:pPr>
              <w:rPr>
                <w:sz w:val="20"/>
                <w:szCs w:val="20"/>
              </w:rPr>
            </w:pPr>
            <w:r w:rsidRPr="00DA4FFF">
              <w:rPr>
                <w:sz w:val="20"/>
                <w:szCs w:val="20"/>
              </w:rPr>
              <w:t>0,606</w:t>
            </w:r>
          </w:p>
        </w:tc>
        <w:tc>
          <w:tcPr>
            <w:tcW w:w="594" w:type="pct"/>
            <w:vMerge w:val="restart"/>
            <w:vAlign w:val="center"/>
            <w:hideMark/>
          </w:tcPr>
          <w:p w:rsidR="00DA4FFF" w:rsidRPr="00DA4FFF" w:rsidRDefault="00DA4FFF" w:rsidP="00DA4FFF">
            <w:pPr>
              <w:jc w:val="center"/>
              <w:rPr>
                <w:sz w:val="20"/>
                <w:szCs w:val="20"/>
              </w:rPr>
            </w:pPr>
            <w:r w:rsidRPr="00DA4FFF">
              <w:rPr>
                <w:sz w:val="20"/>
                <w:szCs w:val="20"/>
              </w:rPr>
              <w:t>0,101</w:t>
            </w:r>
            <w:r w:rsidRPr="00DA4FFF">
              <w:rPr>
                <w:sz w:val="20"/>
                <w:szCs w:val="20"/>
                <w:vertAlign w:val="superscript"/>
              </w:rPr>
              <w:t xml:space="preserve"> NS</w:t>
            </w:r>
          </w:p>
        </w:tc>
      </w:tr>
      <w:tr w:rsidR="00DA4FFF" w:rsidRPr="00DA4FFF" w:rsidTr="00342C4E">
        <w:trPr>
          <w:trHeight w:val="104"/>
        </w:trPr>
        <w:tc>
          <w:tcPr>
            <w:tcW w:w="2686" w:type="pct"/>
            <w:vMerge/>
            <w:vAlign w:val="center"/>
            <w:hideMark/>
          </w:tcPr>
          <w:p w:rsidR="00DA4FFF" w:rsidRPr="00DA4FFF" w:rsidRDefault="00DA4FFF" w:rsidP="00DA4FFF">
            <w:pPr>
              <w:rPr>
                <w:sz w:val="20"/>
                <w:szCs w:val="20"/>
                <w:lang w:eastAsia="en-US"/>
              </w:rPr>
            </w:pPr>
          </w:p>
        </w:tc>
        <w:tc>
          <w:tcPr>
            <w:tcW w:w="339" w:type="pct"/>
          </w:tcPr>
          <w:p w:rsidR="00DA4FFF" w:rsidRPr="00DA4FFF" w:rsidRDefault="00DA4FFF" w:rsidP="00DA4FFF">
            <w:pPr>
              <w:rPr>
                <w:sz w:val="20"/>
                <w:szCs w:val="20"/>
              </w:rPr>
            </w:pPr>
            <w:r w:rsidRPr="00DA4FFF">
              <w:rPr>
                <w:sz w:val="20"/>
                <w:szCs w:val="20"/>
              </w:rPr>
              <w:t>Sim</w:t>
            </w:r>
          </w:p>
        </w:tc>
        <w:tc>
          <w:tcPr>
            <w:tcW w:w="334" w:type="pct"/>
          </w:tcPr>
          <w:p w:rsidR="00DA4FFF" w:rsidRPr="00DA4FFF" w:rsidRDefault="00DA4FFF" w:rsidP="00DA4FFF">
            <w:pPr>
              <w:rPr>
                <w:sz w:val="20"/>
                <w:szCs w:val="20"/>
              </w:rPr>
            </w:pPr>
            <w:r w:rsidRPr="00DA4FFF">
              <w:rPr>
                <w:sz w:val="20"/>
                <w:szCs w:val="20"/>
              </w:rPr>
              <w:t>179</w:t>
            </w:r>
          </w:p>
        </w:tc>
        <w:tc>
          <w:tcPr>
            <w:tcW w:w="468" w:type="pct"/>
          </w:tcPr>
          <w:p w:rsidR="00DA4FFF" w:rsidRPr="00DA4FFF" w:rsidRDefault="00DA4FFF" w:rsidP="00DA4FFF">
            <w:pPr>
              <w:rPr>
                <w:sz w:val="20"/>
                <w:szCs w:val="20"/>
              </w:rPr>
            </w:pPr>
            <w:r w:rsidRPr="00DA4FFF">
              <w:rPr>
                <w:sz w:val="20"/>
                <w:szCs w:val="20"/>
              </w:rPr>
              <w:t>3,422</w:t>
            </w:r>
          </w:p>
        </w:tc>
        <w:tc>
          <w:tcPr>
            <w:tcW w:w="579" w:type="pct"/>
          </w:tcPr>
          <w:p w:rsidR="00DA4FFF" w:rsidRPr="00DA4FFF" w:rsidRDefault="00DA4FFF" w:rsidP="00DA4FFF">
            <w:pPr>
              <w:rPr>
                <w:sz w:val="20"/>
                <w:szCs w:val="20"/>
              </w:rPr>
            </w:pPr>
            <w:r w:rsidRPr="00DA4FFF">
              <w:rPr>
                <w:sz w:val="20"/>
                <w:szCs w:val="20"/>
              </w:rPr>
              <w:t>0,726</w:t>
            </w:r>
          </w:p>
        </w:tc>
        <w:tc>
          <w:tcPr>
            <w:tcW w:w="594" w:type="pct"/>
            <w:vMerge/>
            <w:vAlign w:val="center"/>
            <w:hideMark/>
          </w:tcPr>
          <w:p w:rsidR="00DA4FFF" w:rsidRPr="00DA4FFF" w:rsidRDefault="00DA4FFF" w:rsidP="00DA4FFF">
            <w:pPr>
              <w:rPr>
                <w:sz w:val="20"/>
                <w:szCs w:val="20"/>
                <w:lang w:eastAsia="en-US"/>
              </w:rPr>
            </w:pPr>
          </w:p>
        </w:tc>
      </w:tr>
      <w:tr w:rsidR="00DA4FFF" w:rsidRPr="00DA4FFF" w:rsidTr="00342C4E">
        <w:trPr>
          <w:trHeight w:val="104"/>
        </w:trPr>
        <w:tc>
          <w:tcPr>
            <w:tcW w:w="2686" w:type="pct"/>
            <w:vMerge w:val="restart"/>
            <w:vAlign w:val="center"/>
          </w:tcPr>
          <w:p w:rsidR="00DA4FFF" w:rsidRPr="00DA4FFF" w:rsidRDefault="00DA4FFF" w:rsidP="00DA4FFF">
            <w:pPr>
              <w:rPr>
                <w:sz w:val="20"/>
                <w:szCs w:val="20"/>
              </w:rPr>
            </w:pPr>
            <w:r w:rsidRPr="00DA4FFF">
              <w:rPr>
                <w:sz w:val="20"/>
                <w:szCs w:val="20"/>
              </w:rPr>
              <w:t>Uso do saldo de FGTS (iv) X Escore de satisfação com o imóvel (i)</w:t>
            </w:r>
          </w:p>
        </w:tc>
        <w:tc>
          <w:tcPr>
            <w:tcW w:w="339" w:type="pct"/>
          </w:tcPr>
          <w:p w:rsidR="00DA4FFF" w:rsidRPr="00DA4FFF" w:rsidRDefault="00DA4FFF" w:rsidP="00DA4FFF">
            <w:pPr>
              <w:rPr>
                <w:sz w:val="20"/>
                <w:szCs w:val="20"/>
              </w:rPr>
            </w:pPr>
            <w:r w:rsidRPr="00DA4FFF">
              <w:rPr>
                <w:sz w:val="20"/>
                <w:szCs w:val="20"/>
              </w:rPr>
              <w:t>Não</w:t>
            </w:r>
          </w:p>
        </w:tc>
        <w:tc>
          <w:tcPr>
            <w:tcW w:w="334" w:type="pct"/>
          </w:tcPr>
          <w:p w:rsidR="00DA4FFF" w:rsidRPr="00DA4FFF" w:rsidRDefault="00DA4FFF" w:rsidP="00DA4FFF">
            <w:pPr>
              <w:rPr>
                <w:sz w:val="20"/>
                <w:szCs w:val="20"/>
              </w:rPr>
            </w:pPr>
            <w:r w:rsidRPr="00DA4FFF">
              <w:rPr>
                <w:sz w:val="20"/>
                <w:szCs w:val="20"/>
              </w:rPr>
              <w:t>148</w:t>
            </w:r>
          </w:p>
        </w:tc>
        <w:tc>
          <w:tcPr>
            <w:tcW w:w="468" w:type="pct"/>
          </w:tcPr>
          <w:p w:rsidR="00DA4FFF" w:rsidRPr="00DA4FFF" w:rsidRDefault="00DA4FFF" w:rsidP="00DA4FFF">
            <w:pPr>
              <w:rPr>
                <w:sz w:val="20"/>
                <w:szCs w:val="20"/>
              </w:rPr>
            </w:pPr>
            <w:r w:rsidRPr="00DA4FFF">
              <w:rPr>
                <w:sz w:val="20"/>
                <w:szCs w:val="20"/>
              </w:rPr>
              <w:t>3,362</w:t>
            </w:r>
          </w:p>
        </w:tc>
        <w:tc>
          <w:tcPr>
            <w:tcW w:w="579" w:type="pct"/>
          </w:tcPr>
          <w:p w:rsidR="00DA4FFF" w:rsidRPr="00DA4FFF" w:rsidRDefault="00DA4FFF" w:rsidP="00DA4FFF">
            <w:pPr>
              <w:rPr>
                <w:sz w:val="20"/>
                <w:szCs w:val="20"/>
              </w:rPr>
            </w:pPr>
            <w:r w:rsidRPr="00DA4FFF">
              <w:rPr>
                <w:sz w:val="20"/>
                <w:szCs w:val="20"/>
              </w:rPr>
              <w:t>0,692</w:t>
            </w:r>
          </w:p>
        </w:tc>
        <w:tc>
          <w:tcPr>
            <w:tcW w:w="594" w:type="pct"/>
            <w:vMerge w:val="restart"/>
            <w:vAlign w:val="center"/>
          </w:tcPr>
          <w:p w:rsidR="00DA4FFF" w:rsidRPr="00DA4FFF" w:rsidRDefault="00DA4FFF" w:rsidP="00DA4FFF">
            <w:pPr>
              <w:jc w:val="center"/>
              <w:rPr>
                <w:sz w:val="20"/>
                <w:szCs w:val="20"/>
              </w:rPr>
            </w:pPr>
            <w:r w:rsidRPr="00DA4FFF">
              <w:rPr>
                <w:sz w:val="20"/>
                <w:szCs w:val="20"/>
              </w:rPr>
              <w:t>0,030*</w:t>
            </w:r>
          </w:p>
        </w:tc>
      </w:tr>
      <w:tr w:rsidR="00DA4FFF" w:rsidRPr="00DA4FFF" w:rsidTr="00342C4E">
        <w:trPr>
          <w:trHeight w:val="104"/>
        </w:trPr>
        <w:tc>
          <w:tcPr>
            <w:tcW w:w="2686" w:type="pct"/>
            <w:vMerge/>
            <w:vAlign w:val="center"/>
          </w:tcPr>
          <w:p w:rsidR="00DA4FFF" w:rsidRPr="00DA4FFF" w:rsidRDefault="00DA4FFF" w:rsidP="00DA4FFF">
            <w:pPr>
              <w:rPr>
                <w:sz w:val="20"/>
                <w:szCs w:val="20"/>
              </w:rPr>
            </w:pPr>
          </w:p>
        </w:tc>
        <w:tc>
          <w:tcPr>
            <w:tcW w:w="339" w:type="pct"/>
          </w:tcPr>
          <w:p w:rsidR="00DA4FFF" w:rsidRPr="00DA4FFF" w:rsidRDefault="00DA4FFF" w:rsidP="00DA4FFF">
            <w:pPr>
              <w:rPr>
                <w:sz w:val="20"/>
                <w:szCs w:val="20"/>
              </w:rPr>
            </w:pPr>
            <w:r w:rsidRPr="00DA4FFF">
              <w:rPr>
                <w:sz w:val="20"/>
                <w:szCs w:val="20"/>
              </w:rPr>
              <w:t>Sim</w:t>
            </w:r>
          </w:p>
        </w:tc>
        <w:tc>
          <w:tcPr>
            <w:tcW w:w="334" w:type="pct"/>
          </w:tcPr>
          <w:p w:rsidR="00DA4FFF" w:rsidRPr="00DA4FFF" w:rsidRDefault="00DA4FFF" w:rsidP="00DA4FFF">
            <w:pPr>
              <w:rPr>
                <w:sz w:val="20"/>
                <w:szCs w:val="20"/>
              </w:rPr>
            </w:pPr>
            <w:r w:rsidRPr="00DA4FFF">
              <w:rPr>
                <w:sz w:val="20"/>
                <w:szCs w:val="20"/>
              </w:rPr>
              <w:t>82</w:t>
            </w:r>
          </w:p>
        </w:tc>
        <w:tc>
          <w:tcPr>
            <w:tcW w:w="468" w:type="pct"/>
          </w:tcPr>
          <w:p w:rsidR="00DA4FFF" w:rsidRPr="00DA4FFF" w:rsidRDefault="00DA4FFF" w:rsidP="00DA4FFF">
            <w:pPr>
              <w:rPr>
                <w:sz w:val="20"/>
                <w:szCs w:val="20"/>
              </w:rPr>
            </w:pPr>
            <w:r w:rsidRPr="00DA4FFF">
              <w:rPr>
                <w:sz w:val="20"/>
                <w:szCs w:val="20"/>
              </w:rPr>
              <w:t>3,646</w:t>
            </w:r>
          </w:p>
        </w:tc>
        <w:tc>
          <w:tcPr>
            <w:tcW w:w="579" w:type="pct"/>
          </w:tcPr>
          <w:p w:rsidR="00DA4FFF" w:rsidRPr="00DA4FFF" w:rsidRDefault="00DA4FFF" w:rsidP="00DA4FFF">
            <w:pPr>
              <w:rPr>
                <w:sz w:val="20"/>
                <w:szCs w:val="20"/>
              </w:rPr>
            </w:pPr>
            <w:r w:rsidRPr="00DA4FFF">
              <w:rPr>
                <w:sz w:val="20"/>
                <w:szCs w:val="20"/>
              </w:rPr>
              <w:t>0,693</w:t>
            </w:r>
          </w:p>
        </w:tc>
        <w:tc>
          <w:tcPr>
            <w:tcW w:w="594" w:type="pct"/>
            <w:vMerge/>
            <w:vAlign w:val="center"/>
          </w:tcPr>
          <w:p w:rsidR="00DA4FFF" w:rsidRPr="00DA4FFF" w:rsidRDefault="00DA4FFF" w:rsidP="00DA4FFF">
            <w:pPr>
              <w:jc w:val="center"/>
              <w:rPr>
                <w:sz w:val="20"/>
                <w:szCs w:val="20"/>
              </w:rPr>
            </w:pPr>
          </w:p>
        </w:tc>
      </w:tr>
      <w:tr w:rsidR="00DA4FFF" w:rsidRPr="00DA4FFF" w:rsidTr="00342C4E">
        <w:trPr>
          <w:trHeight w:val="104"/>
        </w:trPr>
        <w:tc>
          <w:tcPr>
            <w:tcW w:w="2686" w:type="pct"/>
            <w:vMerge w:val="restart"/>
            <w:vAlign w:val="center"/>
            <w:hideMark/>
          </w:tcPr>
          <w:p w:rsidR="00DA4FFF" w:rsidRPr="00DA4FFF" w:rsidRDefault="00DA4FFF" w:rsidP="00DA4FFF">
            <w:pPr>
              <w:rPr>
                <w:sz w:val="20"/>
                <w:szCs w:val="20"/>
              </w:rPr>
            </w:pPr>
            <w:r w:rsidRPr="00DA4FFF">
              <w:rPr>
                <w:sz w:val="20"/>
                <w:szCs w:val="20"/>
              </w:rPr>
              <w:t>Benefício Social (v) X Escore de satisfação com o imóvel (i)</w:t>
            </w:r>
          </w:p>
        </w:tc>
        <w:tc>
          <w:tcPr>
            <w:tcW w:w="339" w:type="pct"/>
          </w:tcPr>
          <w:p w:rsidR="00DA4FFF" w:rsidRPr="00DA4FFF" w:rsidRDefault="00DA4FFF" w:rsidP="00DA4FFF">
            <w:pPr>
              <w:rPr>
                <w:sz w:val="20"/>
                <w:szCs w:val="20"/>
              </w:rPr>
            </w:pPr>
            <w:r w:rsidRPr="00DA4FFF">
              <w:rPr>
                <w:sz w:val="20"/>
                <w:szCs w:val="20"/>
              </w:rPr>
              <w:t>Não</w:t>
            </w:r>
          </w:p>
        </w:tc>
        <w:tc>
          <w:tcPr>
            <w:tcW w:w="334" w:type="pct"/>
          </w:tcPr>
          <w:p w:rsidR="00DA4FFF" w:rsidRPr="00DA4FFF" w:rsidRDefault="00DA4FFF" w:rsidP="00DA4FFF">
            <w:pPr>
              <w:rPr>
                <w:sz w:val="20"/>
                <w:szCs w:val="20"/>
              </w:rPr>
            </w:pPr>
            <w:r w:rsidRPr="00DA4FFF">
              <w:rPr>
                <w:sz w:val="20"/>
                <w:szCs w:val="20"/>
              </w:rPr>
              <w:t>26</w:t>
            </w:r>
          </w:p>
        </w:tc>
        <w:tc>
          <w:tcPr>
            <w:tcW w:w="468" w:type="pct"/>
          </w:tcPr>
          <w:p w:rsidR="00DA4FFF" w:rsidRPr="00DA4FFF" w:rsidRDefault="00DA4FFF" w:rsidP="00DA4FFF">
            <w:pPr>
              <w:rPr>
                <w:sz w:val="20"/>
                <w:szCs w:val="20"/>
              </w:rPr>
            </w:pPr>
            <w:r w:rsidRPr="00DA4FFF">
              <w:rPr>
                <w:sz w:val="20"/>
                <w:szCs w:val="20"/>
              </w:rPr>
              <w:t>3,484</w:t>
            </w:r>
          </w:p>
        </w:tc>
        <w:tc>
          <w:tcPr>
            <w:tcW w:w="579" w:type="pct"/>
          </w:tcPr>
          <w:p w:rsidR="00DA4FFF" w:rsidRPr="00DA4FFF" w:rsidRDefault="00DA4FFF" w:rsidP="00DA4FFF">
            <w:pPr>
              <w:rPr>
                <w:sz w:val="20"/>
                <w:szCs w:val="20"/>
              </w:rPr>
            </w:pPr>
            <w:r w:rsidRPr="00DA4FFF">
              <w:rPr>
                <w:sz w:val="20"/>
                <w:szCs w:val="20"/>
              </w:rPr>
              <w:t>0,614</w:t>
            </w:r>
          </w:p>
        </w:tc>
        <w:tc>
          <w:tcPr>
            <w:tcW w:w="594" w:type="pct"/>
            <w:vMerge w:val="restart"/>
            <w:vAlign w:val="center"/>
            <w:hideMark/>
          </w:tcPr>
          <w:p w:rsidR="00DA4FFF" w:rsidRPr="00DA4FFF" w:rsidRDefault="00DA4FFF" w:rsidP="00DA4FFF">
            <w:pPr>
              <w:jc w:val="center"/>
              <w:rPr>
                <w:sz w:val="20"/>
                <w:szCs w:val="20"/>
              </w:rPr>
            </w:pPr>
            <w:r w:rsidRPr="00DA4FFF">
              <w:rPr>
                <w:sz w:val="20"/>
                <w:szCs w:val="20"/>
              </w:rPr>
              <w:t>0,204</w:t>
            </w:r>
            <w:r w:rsidRPr="00DA4FFF">
              <w:rPr>
                <w:sz w:val="20"/>
                <w:szCs w:val="20"/>
                <w:vertAlign w:val="superscript"/>
              </w:rPr>
              <w:t xml:space="preserve"> NS</w:t>
            </w:r>
          </w:p>
        </w:tc>
      </w:tr>
      <w:tr w:rsidR="00DA4FFF" w:rsidRPr="00DA4FFF" w:rsidTr="007F5BD6">
        <w:trPr>
          <w:trHeight w:val="104"/>
        </w:trPr>
        <w:tc>
          <w:tcPr>
            <w:tcW w:w="2686" w:type="pct"/>
            <w:vMerge/>
            <w:tcBorders>
              <w:bottom w:val="single" w:sz="4" w:space="0" w:color="auto"/>
            </w:tcBorders>
            <w:vAlign w:val="center"/>
            <w:hideMark/>
          </w:tcPr>
          <w:p w:rsidR="00DA4FFF" w:rsidRPr="00DA4FFF" w:rsidRDefault="00DA4FFF" w:rsidP="00DA4FFF">
            <w:pPr>
              <w:rPr>
                <w:sz w:val="20"/>
                <w:szCs w:val="20"/>
                <w:lang w:eastAsia="en-US"/>
              </w:rPr>
            </w:pPr>
          </w:p>
        </w:tc>
        <w:tc>
          <w:tcPr>
            <w:tcW w:w="339" w:type="pct"/>
            <w:tcBorders>
              <w:bottom w:val="single" w:sz="4" w:space="0" w:color="auto"/>
            </w:tcBorders>
            <w:hideMark/>
          </w:tcPr>
          <w:p w:rsidR="00DA4FFF" w:rsidRPr="00DA4FFF" w:rsidRDefault="00DA4FFF" w:rsidP="00DA4FFF">
            <w:pPr>
              <w:rPr>
                <w:sz w:val="20"/>
                <w:szCs w:val="20"/>
              </w:rPr>
            </w:pPr>
            <w:r w:rsidRPr="00DA4FFF">
              <w:rPr>
                <w:sz w:val="20"/>
                <w:szCs w:val="20"/>
              </w:rPr>
              <w:t>Sim</w:t>
            </w:r>
          </w:p>
        </w:tc>
        <w:tc>
          <w:tcPr>
            <w:tcW w:w="334" w:type="pct"/>
            <w:tcBorders>
              <w:bottom w:val="single" w:sz="4" w:space="0" w:color="auto"/>
            </w:tcBorders>
            <w:hideMark/>
          </w:tcPr>
          <w:p w:rsidR="00DA4FFF" w:rsidRPr="00DA4FFF" w:rsidRDefault="00DA4FFF" w:rsidP="00DA4FFF">
            <w:pPr>
              <w:rPr>
                <w:sz w:val="20"/>
                <w:szCs w:val="20"/>
              </w:rPr>
            </w:pPr>
            <w:r w:rsidRPr="00DA4FFF">
              <w:rPr>
                <w:sz w:val="20"/>
                <w:szCs w:val="20"/>
              </w:rPr>
              <w:t>204</w:t>
            </w:r>
          </w:p>
        </w:tc>
        <w:tc>
          <w:tcPr>
            <w:tcW w:w="468" w:type="pct"/>
            <w:tcBorders>
              <w:bottom w:val="single" w:sz="4" w:space="0" w:color="auto"/>
            </w:tcBorders>
            <w:hideMark/>
          </w:tcPr>
          <w:p w:rsidR="00DA4FFF" w:rsidRPr="00DA4FFF" w:rsidRDefault="00DA4FFF" w:rsidP="00DA4FFF">
            <w:pPr>
              <w:rPr>
                <w:sz w:val="20"/>
                <w:szCs w:val="20"/>
              </w:rPr>
            </w:pPr>
            <w:r w:rsidRPr="00DA4FFF">
              <w:rPr>
                <w:sz w:val="20"/>
                <w:szCs w:val="20"/>
              </w:rPr>
              <w:t>3,298</w:t>
            </w:r>
          </w:p>
        </w:tc>
        <w:tc>
          <w:tcPr>
            <w:tcW w:w="579" w:type="pct"/>
            <w:tcBorders>
              <w:bottom w:val="single" w:sz="4" w:space="0" w:color="auto"/>
            </w:tcBorders>
            <w:hideMark/>
          </w:tcPr>
          <w:p w:rsidR="00DA4FFF" w:rsidRPr="00DA4FFF" w:rsidRDefault="00DA4FFF" w:rsidP="00DA4FFF">
            <w:pPr>
              <w:rPr>
                <w:sz w:val="20"/>
                <w:szCs w:val="20"/>
              </w:rPr>
            </w:pPr>
            <w:r w:rsidRPr="00DA4FFF">
              <w:rPr>
                <w:sz w:val="20"/>
                <w:szCs w:val="20"/>
              </w:rPr>
              <w:t>0,713</w:t>
            </w:r>
          </w:p>
        </w:tc>
        <w:tc>
          <w:tcPr>
            <w:tcW w:w="594" w:type="pct"/>
            <w:vMerge/>
            <w:tcBorders>
              <w:bottom w:val="single" w:sz="4" w:space="0" w:color="auto"/>
            </w:tcBorders>
            <w:vAlign w:val="center"/>
            <w:hideMark/>
          </w:tcPr>
          <w:p w:rsidR="00DA4FFF" w:rsidRPr="00DA4FFF" w:rsidRDefault="00DA4FFF" w:rsidP="00DA4FFF">
            <w:pPr>
              <w:rPr>
                <w:sz w:val="20"/>
                <w:szCs w:val="20"/>
                <w:lang w:eastAsia="en-US"/>
              </w:rPr>
            </w:pPr>
          </w:p>
        </w:tc>
      </w:tr>
      <w:tr w:rsidR="007F5BD6" w:rsidRPr="00DA4FFF" w:rsidTr="007F5BD6">
        <w:trPr>
          <w:trHeight w:val="104"/>
        </w:trPr>
        <w:tc>
          <w:tcPr>
            <w:tcW w:w="5000" w:type="pct"/>
            <w:gridSpan w:val="6"/>
            <w:tcBorders>
              <w:top w:val="single" w:sz="4" w:space="0" w:color="auto"/>
              <w:bottom w:val="nil"/>
            </w:tcBorders>
            <w:vAlign w:val="center"/>
          </w:tcPr>
          <w:p w:rsidR="007F5BD6" w:rsidRDefault="007F5BD6" w:rsidP="00DA4FFF">
            <w:pPr>
              <w:rPr>
                <w:sz w:val="20"/>
                <w:szCs w:val="20"/>
              </w:rPr>
            </w:pPr>
            <w:r w:rsidRPr="00DA4FFF">
              <w:rPr>
                <w:sz w:val="20"/>
                <w:szCs w:val="20"/>
              </w:rPr>
              <w:t>Fonte</w:t>
            </w:r>
            <w:r>
              <w:rPr>
                <w:sz w:val="20"/>
                <w:szCs w:val="20"/>
              </w:rPr>
              <w:t>: Resultados da Pesquisa (2017)</w:t>
            </w:r>
          </w:p>
          <w:p w:rsidR="007F5BD6" w:rsidRPr="00DA4FFF" w:rsidRDefault="007F5BD6" w:rsidP="007F5BD6">
            <w:pPr>
              <w:rPr>
                <w:sz w:val="20"/>
                <w:szCs w:val="20"/>
              </w:rPr>
            </w:pPr>
            <w:proofErr w:type="gramStart"/>
            <w:r w:rsidRPr="00DA4FFF">
              <w:rPr>
                <w:sz w:val="20"/>
                <w:szCs w:val="20"/>
              </w:rPr>
              <w:t>¹</w:t>
            </w:r>
            <w:proofErr w:type="gramEnd"/>
            <w:r w:rsidRPr="00DA4FFF">
              <w:rPr>
                <w:sz w:val="20"/>
                <w:szCs w:val="20"/>
              </w:rPr>
              <w:t xml:space="preserve"> Foi desconsiderado os moradores do bairro Saturnino Pereira, tendo em vista postura mais rígida da construtora que executou a obra.</w:t>
            </w:r>
          </w:p>
          <w:p w:rsidR="007F5BD6" w:rsidRPr="00DA4FFF" w:rsidRDefault="007F5BD6" w:rsidP="007F5BD6">
            <w:pPr>
              <w:rPr>
                <w:sz w:val="20"/>
                <w:szCs w:val="20"/>
                <w:lang w:eastAsia="en-US"/>
              </w:rPr>
            </w:pPr>
            <w:r w:rsidRPr="00DA4FFF">
              <w:rPr>
                <w:sz w:val="20"/>
                <w:szCs w:val="20"/>
              </w:rPr>
              <w:t>* Significativo a um nível de 0,05.</w:t>
            </w:r>
          </w:p>
          <w:p w:rsidR="007F5BD6" w:rsidRPr="00DA4FFF" w:rsidRDefault="007F5BD6" w:rsidP="00DA4FFF">
            <w:pPr>
              <w:rPr>
                <w:sz w:val="20"/>
                <w:szCs w:val="20"/>
              </w:rPr>
            </w:pPr>
            <w:r w:rsidRPr="00DA4FFF">
              <w:rPr>
                <w:sz w:val="20"/>
                <w:szCs w:val="20"/>
                <w:vertAlign w:val="superscript"/>
              </w:rPr>
              <w:t xml:space="preserve">NS </w:t>
            </w:r>
            <w:r>
              <w:rPr>
                <w:sz w:val="20"/>
                <w:szCs w:val="20"/>
              </w:rPr>
              <w:t>Não significativo.</w:t>
            </w:r>
          </w:p>
        </w:tc>
      </w:tr>
    </w:tbl>
    <w:p w:rsidR="00342C4E" w:rsidRPr="00342C4E" w:rsidRDefault="00342C4E" w:rsidP="007F5BD6">
      <w:pPr>
        <w:spacing w:before="120" w:after="120"/>
        <w:jc w:val="center"/>
        <w:rPr>
          <w:sz w:val="20"/>
          <w:szCs w:val="20"/>
        </w:rPr>
      </w:pPr>
      <w:r w:rsidRPr="00342C4E">
        <w:rPr>
          <w:sz w:val="20"/>
          <w:szCs w:val="20"/>
        </w:rPr>
        <w:t xml:space="preserve">Tabela </w:t>
      </w:r>
      <w:r w:rsidRPr="00342C4E">
        <w:rPr>
          <w:i/>
          <w:sz w:val="20"/>
          <w:szCs w:val="20"/>
        </w:rPr>
        <w:fldChar w:fldCharType="begin"/>
      </w:r>
      <w:r w:rsidRPr="00342C4E">
        <w:rPr>
          <w:sz w:val="20"/>
          <w:szCs w:val="20"/>
        </w:rPr>
        <w:instrText xml:space="preserve"> SEQ Tabela \* ARABIC </w:instrText>
      </w:r>
      <w:r w:rsidRPr="00342C4E">
        <w:rPr>
          <w:i/>
          <w:sz w:val="20"/>
          <w:szCs w:val="20"/>
        </w:rPr>
        <w:fldChar w:fldCharType="separate"/>
      </w:r>
      <w:r w:rsidRPr="00342C4E">
        <w:rPr>
          <w:noProof/>
          <w:sz w:val="20"/>
          <w:szCs w:val="20"/>
        </w:rPr>
        <w:t>10</w:t>
      </w:r>
      <w:r w:rsidRPr="00342C4E">
        <w:rPr>
          <w:i/>
          <w:sz w:val="20"/>
          <w:szCs w:val="20"/>
        </w:rPr>
        <w:fldChar w:fldCharType="end"/>
      </w:r>
      <w:r w:rsidRPr="00342C4E">
        <w:rPr>
          <w:sz w:val="20"/>
          <w:szCs w:val="20"/>
        </w:rPr>
        <w:t xml:space="preserve"> - Test t Student – Satisfação com o Imóvel</w:t>
      </w:r>
    </w:p>
    <w:p w:rsidR="00DA4FFF" w:rsidRPr="00DA4FFF" w:rsidRDefault="00DA4FFF" w:rsidP="00DA4FFF">
      <w:pPr>
        <w:spacing w:after="120"/>
        <w:jc w:val="both"/>
        <w:rPr>
          <w:sz w:val="22"/>
        </w:rPr>
      </w:pPr>
    </w:p>
    <w:p w:rsidR="00DA4FFF" w:rsidRPr="00DA4FFF" w:rsidRDefault="00DA4FFF" w:rsidP="00DA4FFF">
      <w:pPr>
        <w:spacing w:after="120"/>
        <w:jc w:val="both"/>
      </w:pPr>
      <w:r w:rsidRPr="00DA4FFF">
        <w:t xml:space="preserve">Analisando a Tabela 10 e, especificamente o teste </w:t>
      </w:r>
      <w:r w:rsidRPr="00DA4FFF">
        <w:rPr>
          <w:i/>
        </w:rPr>
        <w:t>t Student</w:t>
      </w:r>
      <w:r w:rsidRPr="00DA4FFF">
        <w:t>, pode afirmar que, estatisticamente, não há diferença de média entre as variáveis: escore de satisfação com o imóvel (i) e; (iii) a ocorrência de reforma ou ampliação no imóvel (</w:t>
      </w:r>
      <w:r w:rsidRPr="00DA4FFF">
        <w:rPr>
          <w:i/>
        </w:rPr>
        <w:t>t</w:t>
      </w:r>
      <w:r w:rsidRPr="00DA4FFF">
        <w:t>=0,101). Nesse sentido, considera-se que o fato de reformar ou não o imóvel, não resulta em diferença na percepção do beneficiário. Pode-se considerar ainda que as famílias assistidas pelo programa bolsa família (v) apresenta escore de satisfação com a nova moradia estatisticamente igual aos demais beneficiários do PMCMV.</w:t>
      </w:r>
    </w:p>
    <w:p w:rsidR="00DA4FFF" w:rsidRPr="00DA4FFF" w:rsidRDefault="00DA4FFF" w:rsidP="00DA4FFF">
      <w:pPr>
        <w:spacing w:after="120"/>
        <w:jc w:val="both"/>
      </w:pPr>
      <w:r w:rsidRPr="00DA4FFF">
        <w:t>Ainda por meio da Tabela 10, percebe-se que há diferença estatisticamente significativa entre aqueles que conseguiram (ii) negociar adequações no imóvel durante na fase de construção e (i) escore de satisfação com a moradia (</w:t>
      </w:r>
      <w:r w:rsidRPr="00DA4FFF">
        <w:rPr>
          <w:i/>
        </w:rPr>
        <w:t>t</w:t>
      </w:r>
      <w:r w:rsidRPr="00DA4FFF">
        <w:t xml:space="preserve">=0,033). Nesse sentido, pode-se afirmar que a adequação do imóvel ao perfil do beneficiário está diretamente relacionado </w:t>
      </w:r>
      <w:proofErr w:type="gramStart"/>
      <w:r w:rsidRPr="00DA4FFF">
        <w:t>a</w:t>
      </w:r>
      <w:proofErr w:type="gramEnd"/>
      <w:r w:rsidRPr="00DA4FFF">
        <w:t xml:space="preserve"> satisfação com a moradia. </w:t>
      </w:r>
    </w:p>
    <w:p w:rsidR="00DA4FFF" w:rsidRPr="00DA4FFF" w:rsidRDefault="00DA4FFF" w:rsidP="00DA4FFF">
      <w:pPr>
        <w:spacing w:after="120"/>
        <w:jc w:val="both"/>
      </w:pPr>
      <w:r w:rsidRPr="00DA4FFF">
        <w:t>Constatou-se ainda, que há diferença significativa entre as variáveis (i) escore de satisfação com o imóvel e (iv) a possibilidade de reduzir o valor financiado com base no uso do saldo de FGTS. Logo, pode-se afirmar que a redução do valor financiado com a utilização do saldo de FGTS influencia na satisfação com o imóvel (</w:t>
      </w:r>
      <w:r w:rsidRPr="00DA4FFF">
        <w:rPr>
          <w:i/>
        </w:rPr>
        <w:t>t</w:t>
      </w:r>
      <w:r w:rsidRPr="00DA4FFF">
        <w:t>=0,030), conforme ilustrado na Tabela 10.</w:t>
      </w:r>
    </w:p>
    <w:p w:rsidR="00DA4FFF" w:rsidRPr="00DA4FFF" w:rsidRDefault="00DA4FFF" w:rsidP="00DA4FFF">
      <w:pPr>
        <w:spacing w:after="120"/>
        <w:ind w:firstLine="708"/>
        <w:jc w:val="both"/>
      </w:pPr>
    </w:p>
    <w:p w:rsidR="00DA4FFF" w:rsidRPr="00DA4FFF" w:rsidRDefault="00DA4FFF" w:rsidP="00DA4FFF">
      <w:pPr>
        <w:pStyle w:val="Ttulo1"/>
        <w:spacing w:before="0" w:after="120"/>
        <w:rPr>
          <w:rFonts w:ascii="Times New Roman" w:hAnsi="Times New Roman" w:cs="Times New Roman"/>
          <w:color w:val="auto"/>
          <w:sz w:val="24"/>
          <w:szCs w:val="24"/>
        </w:rPr>
      </w:pPr>
      <w:bookmarkStart w:id="27" w:name="_Toc469305047"/>
      <w:r w:rsidRPr="00DA4FFF">
        <w:rPr>
          <w:rFonts w:ascii="Times New Roman" w:hAnsi="Times New Roman" w:cs="Times New Roman"/>
          <w:color w:val="auto"/>
          <w:sz w:val="24"/>
          <w:szCs w:val="24"/>
        </w:rPr>
        <w:lastRenderedPageBreak/>
        <w:t>5. C</w:t>
      </w:r>
      <w:r w:rsidR="0036721B" w:rsidRPr="00DA4FFF">
        <w:rPr>
          <w:rFonts w:ascii="Times New Roman" w:hAnsi="Times New Roman" w:cs="Times New Roman"/>
          <w:color w:val="auto"/>
          <w:sz w:val="24"/>
          <w:szCs w:val="24"/>
        </w:rPr>
        <w:t>onsiderações finais</w:t>
      </w:r>
      <w:bookmarkStart w:id="28" w:name="_GoBack"/>
      <w:bookmarkEnd w:id="27"/>
      <w:bookmarkEnd w:id="28"/>
    </w:p>
    <w:p w:rsidR="00DA4FFF" w:rsidRPr="00DA4FFF" w:rsidRDefault="00DA4FFF" w:rsidP="00DA4FFF">
      <w:pPr>
        <w:autoSpaceDE w:val="0"/>
        <w:autoSpaceDN w:val="0"/>
        <w:adjustRightInd w:val="0"/>
        <w:spacing w:after="120"/>
        <w:jc w:val="both"/>
      </w:pPr>
      <w:r w:rsidRPr="00DA4FFF">
        <w:t>O trabalho se propôs conhecer os aspectos relacionados à satisfação dos beneficiários do Programa Minha Casa Minha Vida em São Gotardo – MG, especificamente no que se refere à moradia, o entorno e acesso aos serviços públicos nas proximidades.</w:t>
      </w:r>
    </w:p>
    <w:p w:rsidR="00DA4FFF" w:rsidRPr="00DA4FFF" w:rsidRDefault="00DA4FFF" w:rsidP="00DA4FFF">
      <w:pPr>
        <w:autoSpaceDE w:val="0"/>
        <w:autoSpaceDN w:val="0"/>
        <w:adjustRightInd w:val="0"/>
        <w:spacing w:after="120"/>
        <w:jc w:val="both"/>
        <w:rPr>
          <w:rFonts w:eastAsiaTheme="minorHAnsi"/>
          <w:lang w:eastAsia="en-US"/>
        </w:rPr>
      </w:pPr>
      <w:r w:rsidRPr="00DA4FFF">
        <w:t xml:space="preserve">Observou-se </w:t>
      </w:r>
      <w:r w:rsidRPr="00DA4FFF">
        <w:rPr>
          <w:rFonts w:eastAsiaTheme="minorHAnsi"/>
          <w:lang w:eastAsia="en-US"/>
        </w:rPr>
        <w:t xml:space="preserve">que os homens apresentaram uma leve </w:t>
      </w:r>
      <w:r w:rsidRPr="00DA4FFF">
        <w:t xml:space="preserve">tendência a estarem mais satisfeitos que as mulheres, </w:t>
      </w:r>
      <w:r w:rsidRPr="00DA4FFF">
        <w:rPr>
          <w:rFonts w:eastAsiaTheme="minorHAnsi"/>
          <w:lang w:eastAsia="en-US"/>
        </w:rPr>
        <w:t xml:space="preserve">no que refere às condições da moradia, destacando </w:t>
      </w:r>
      <w:proofErr w:type="gramStart"/>
      <w:r w:rsidRPr="00DA4FFF">
        <w:rPr>
          <w:rFonts w:eastAsiaTheme="minorHAnsi"/>
          <w:lang w:eastAsia="en-US"/>
        </w:rPr>
        <w:t>as variáveis segurança</w:t>
      </w:r>
      <w:proofErr w:type="gramEnd"/>
      <w:r w:rsidRPr="00DA4FFF">
        <w:rPr>
          <w:rFonts w:eastAsiaTheme="minorHAnsi"/>
          <w:lang w:eastAsia="en-US"/>
        </w:rPr>
        <w:t xml:space="preserve">, dispersão dos cômodos, ventilação natural e área de serviço, </w:t>
      </w:r>
      <w:r w:rsidRPr="00DA4FFF">
        <w:t xml:space="preserve">no entanto, representam apenas 36,96% da amostra. </w:t>
      </w:r>
      <w:r w:rsidRPr="00DA4FFF">
        <w:rPr>
          <w:rFonts w:eastAsiaTheme="minorHAnsi"/>
          <w:lang w:eastAsia="en-US"/>
        </w:rPr>
        <w:t>Constatou-se ainda, que os moradores do bairro Saturnino Pereira apresentam um grau de satisfação menor, quando comparado com a população dos demais bairros. Isto pode estar associado a uma postura mais rígida da construtora que executou a obra, tendo em vista que não existia a possibilidade de negociar adequações no imóvel.</w:t>
      </w:r>
    </w:p>
    <w:p w:rsidR="00DA4FFF" w:rsidRPr="00DA4FFF" w:rsidRDefault="00DA4FFF" w:rsidP="00DA4FFF">
      <w:pPr>
        <w:spacing w:after="120"/>
        <w:jc w:val="both"/>
      </w:pPr>
      <w:r w:rsidRPr="00DA4FFF">
        <w:t xml:space="preserve">Objetivando extração de informações mais relevantes, buscou-se verificar se há diferença significativa entre as médias, por intermédio do test </w:t>
      </w:r>
      <w:r w:rsidRPr="00DA4FFF">
        <w:rPr>
          <w:i/>
        </w:rPr>
        <w:t>t Student,</w:t>
      </w:r>
      <w:r w:rsidRPr="00DA4FFF">
        <w:t xml:space="preserve"> constatou-se que a possibilidade de negociar com a construtora adequações no projeto referente a itens de acabamento e utilizar o saldo de FGTS na aquisição como alternativa para reduzir o valor do financiamento, </w:t>
      </w:r>
      <w:proofErr w:type="gramStart"/>
      <w:r w:rsidRPr="00DA4FFF">
        <w:t>influenciam</w:t>
      </w:r>
      <w:proofErr w:type="gramEnd"/>
      <w:r w:rsidRPr="00DA4FFF">
        <w:t xml:space="preserve"> na satisfação do beneficiário.</w:t>
      </w:r>
    </w:p>
    <w:p w:rsidR="00DA4FFF" w:rsidRPr="00DA4FFF" w:rsidRDefault="00DA4FFF" w:rsidP="00DA4FFF">
      <w:pPr>
        <w:spacing w:after="120"/>
        <w:jc w:val="both"/>
      </w:pPr>
      <w:r w:rsidRPr="00DA4FFF">
        <w:t xml:space="preserve">Verificou-se que, normalmente, a fase de construção do imóvel é postergada, ocasionando atrasos na entrega da moradia à família. Além disso, a percepção dos beneficiários pode ter sido afetada pelo índice considerável de fatores negativos como ocorrência de rachaduras e goteiras (49,13%). </w:t>
      </w:r>
      <w:proofErr w:type="gramStart"/>
      <w:r w:rsidRPr="00DA4FFF">
        <w:t>usualmente</w:t>
      </w:r>
      <w:proofErr w:type="gramEnd"/>
      <w:r w:rsidRPr="00DA4FFF">
        <w:t xml:space="preserve">, após a posse, os beneficiários fazem melhorias/reformas nos imóveis (77,83%), a fim de torná-los mais seguros ou mesmo melhor atender à família, tendo em vista que normalmente os imóveis são entregues sem muro e com área de serviço exposta. E, ainda pode estar associado à ideia de valores que as famílias de baixa renda absorvem dos moradores de classe média e alta, mesmo que estas ideias não sejam adequadas à situação da família de baixa renda (MORAIS, 2015). </w:t>
      </w:r>
    </w:p>
    <w:p w:rsidR="00DA4FFF" w:rsidRPr="00DA4FFF" w:rsidRDefault="00DA4FFF" w:rsidP="00DA4FFF">
      <w:pPr>
        <w:spacing w:after="120"/>
        <w:jc w:val="both"/>
        <w:rPr>
          <w:rFonts w:eastAsiaTheme="minorHAnsi"/>
          <w:lang w:eastAsia="en-US"/>
        </w:rPr>
      </w:pPr>
      <w:r w:rsidRPr="00DA4FFF">
        <w:rPr>
          <w:rFonts w:eastAsiaTheme="minorHAnsi"/>
          <w:lang w:eastAsia="en-US"/>
        </w:rPr>
        <w:t>Conhecer a percepção do beneficiário do programa é pertinente, pois a partir desta é possível promover melhorias, a fim de possibilitar melhor alocação dos recursos públicos, gerar valor para o beneficiário, proporcionando um atendimento mais satisfatório das famílias, que, conforme Reis (2013), a percepção dos beneficiários serve como instrumento para aperfeiçoamento das políticas públicas de habitação, a fim de proporcionar melhor alocação dos recursos públicos.</w:t>
      </w:r>
    </w:p>
    <w:p w:rsidR="00DA4FFF" w:rsidRPr="00DA4FFF" w:rsidRDefault="00DA4FFF" w:rsidP="00DA4FFF">
      <w:pPr>
        <w:spacing w:after="120"/>
        <w:jc w:val="both"/>
      </w:pPr>
      <w:r w:rsidRPr="00DA4FFF">
        <w:t xml:space="preserve">As limitações do estudo </w:t>
      </w:r>
      <w:proofErr w:type="gramStart"/>
      <w:r w:rsidRPr="00DA4FFF">
        <w:t>baseiam-se</w:t>
      </w:r>
      <w:proofErr w:type="gramEnd"/>
      <w:r w:rsidRPr="00DA4FFF">
        <w:t xml:space="preserve"> na superficialidade dos dados quantitativos, que não permitem a análise mais significativa no sentido de identificar, se o escore relativamente alto de aumento de bem-estar (4,44 numa escala de 1 a 5) deve-se a satisfação com a moradia atual ou, se está relacionado às condições gerais da moradia anterior.</w:t>
      </w:r>
    </w:p>
    <w:p w:rsidR="00DA4FFF" w:rsidRPr="00DA4FFF" w:rsidRDefault="00DA4FFF" w:rsidP="00DA4FFF">
      <w:pPr>
        <w:autoSpaceDE w:val="0"/>
        <w:autoSpaceDN w:val="0"/>
        <w:adjustRightInd w:val="0"/>
        <w:spacing w:after="120"/>
        <w:jc w:val="both"/>
      </w:pPr>
      <w:r w:rsidRPr="00DA4FFF">
        <w:t xml:space="preserve">Sendo assim, sugere-se como proposta para novos estudos, pesquisas que busquem entender os aspectos associados ao aumento de bem-estar e, ainda identificar os fatores relacionados à assimetria de informação que envolve o processo de construção e comercialização de moradias do PMCMV. </w:t>
      </w:r>
    </w:p>
    <w:p w:rsidR="00DA4FFF" w:rsidRPr="00DA4FFF" w:rsidRDefault="00DA4FFF" w:rsidP="00DA4FFF">
      <w:pPr>
        <w:pStyle w:val="Ttulo1"/>
        <w:spacing w:before="0" w:after="120"/>
        <w:rPr>
          <w:rFonts w:ascii="Times New Roman" w:hAnsi="Times New Roman" w:cs="Times New Roman"/>
          <w:color w:val="auto"/>
          <w:sz w:val="26"/>
          <w:szCs w:val="26"/>
        </w:rPr>
      </w:pPr>
      <w:bookmarkStart w:id="29" w:name="_Toc469305048"/>
    </w:p>
    <w:p w:rsidR="00DA4FFF" w:rsidRPr="00DA4FFF" w:rsidRDefault="00DA4FFF" w:rsidP="00DA4FFF">
      <w:pPr>
        <w:pStyle w:val="Ttulo1"/>
        <w:spacing w:before="0" w:after="120"/>
        <w:rPr>
          <w:rFonts w:ascii="Times New Roman" w:hAnsi="Times New Roman" w:cs="Times New Roman"/>
          <w:color w:val="auto"/>
          <w:sz w:val="26"/>
          <w:szCs w:val="26"/>
        </w:rPr>
      </w:pPr>
      <w:r w:rsidRPr="00DA4FFF">
        <w:rPr>
          <w:rFonts w:ascii="Times New Roman" w:hAnsi="Times New Roman" w:cs="Times New Roman"/>
          <w:color w:val="auto"/>
          <w:sz w:val="26"/>
          <w:szCs w:val="26"/>
        </w:rPr>
        <w:t>R</w:t>
      </w:r>
      <w:r w:rsidR="0036721B" w:rsidRPr="00DA4FFF">
        <w:rPr>
          <w:rFonts w:ascii="Times New Roman" w:hAnsi="Times New Roman" w:cs="Times New Roman"/>
          <w:color w:val="auto"/>
          <w:sz w:val="26"/>
          <w:szCs w:val="26"/>
        </w:rPr>
        <w:t>eferências</w:t>
      </w:r>
      <w:bookmarkEnd w:id="29"/>
    </w:p>
    <w:p w:rsidR="00DA4FFF" w:rsidRPr="00182117" w:rsidRDefault="00DA4FFF" w:rsidP="00182117">
      <w:pPr>
        <w:autoSpaceDE w:val="0"/>
        <w:autoSpaceDN w:val="0"/>
        <w:adjustRightInd w:val="0"/>
        <w:spacing w:after="120"/>
        <w:rPr>
          <w:sz w:val="20"/>
          <w:szCs w:val="20"/>
        </w:rPr>
      </w:pPr>
      <w:r w:rsidRPr="00182117">
        <w:rPr>
          <w:rFonts w:eastAsiaTheme="minorHAnsi"/>
          <w:sz w:val="20"/>
          <w:szCs w:val="20"/>
        </w:rPr>
        <w:t>AMORE, C. S</w:t>
      </w:r>
      <w:proofErr w:type="gramStart"/>
      <w:r w:rsidRPr="00182117">
        <w:rPr>
          <w:rFonts w:eastAsiaTheme="minorHAnsi"/>
          <w:sz w:val="20"/>
          <w:szCs w:val="20"/>
        </w:rPr>
        <w:t>. Minha Casa Minha Vida”</w:t>
      </w:r>
      <w:proofErr w:type="gramEnd"/>
      <w:r w:rsidRPr="00182117">
        <w:rPr>
          <w:rFonts w:eastAsiaTheme="minorHAnsi"/>
          <w:sz w:val="20"/>
          <w:szCs w:val="20"/>
        </w:rPr>
        <w:t xml:space="preserve"> para iniciantes. in: </w:t>
      </w:r>
      <w:r w:rsidRPr="00182117">
        <w:rPr>
          <w:rFonts w:eastAsiaTheme="minorHAnsi"/>
          <w:b/>
          <w:sz w:val="20"/>
          <w:szCs w:val="20"/>
        </w:rPr>
        <w:t>Minha casa... e a cidade? avaliação do programa minha casa minha vida em seis estados brasileiros (e-book)</w:t>
      </w:r>
      <w:r w:rsidRPr="00182117">
        <w:rPr>
          <w:rFonts w:eastAsiaTheme="minorHAnsi"/>
          <w:sz w:val="20"/>
          <w:szCs w:val="20"/>
        </w:rPr>
        <w:t xml:space="preserve">. Org AMORE, C.S.; SHIMBO, L.Z.; RUFINO, M.B.C.. 1. ed. Rio de Janeiro: Letra Capital, 2015. Disponível em: </w:t>
      </w:r>
      <w:r w:rsidRPr="00182117">
        <w:rPr>
          <w:sz w:val="20"/>
          <w:szCs w:val="20"/>
        </w:rPr>
        <w:t>&lt;</w:t>
      </w:r>
      <w:hyperlink r:id="rId13" w:history="1">
        <w:r w:rsidRPr="00182117">
          <w:rPr>
            <w:sz w:val="20"/>
            <w:szCs w:val="20"/>
          </w:rPr>
          <w:t>http://www.observatoriodasmetropoles.net/images/abook_file/mcmv_nacional2015.pdf</w:t>
        </w:r>
      </w:hyperlink>
      <w:r w:rsidRPr="00182117">
        <w:rPr>
          <w:sz w:val="20"/>
          <w:szCs w:val="20"/>
        </w:rPr>
        <w:t>&gt; Acesso em: 18 maio 2016.</w:t>
      </w:r>
    </w:p>
    <w:p w:rsidR="00DA4FFF" w:rsidRPr="00182117" w:rsidRDefault="00DA4FFF" w:rsidP="00182117">
      <w:pPr>
        <w:autoSpaceDE w:val="0"/>
        <w:autoSpaceDN w:val="0"/>
        <w:adjustRightInd w:val="0"/>
        <w:spacing w:after="120"/>
        <w:rPr>
          <w:rFonts w:eastAsiaTheme="minorHAnsi"/>
          <w:b/>
          <w:sz w:val="20"/>
          <w:szCs w:val="20"/>
        </w:rPr>
      </w:pPr>
      <w:r w:rsidRPr="00182117">
        <w:rPr>
          <w:rFonts w:eastAsiaTheme="minorHAnsi"/>
          <w:sz w:val="20"/>
          <w:szCs w:val="20"/>
        </w:rPr>
        <w:lastRenderedPageBreak/>
        <w:t xml:space="preserve">ANDRADE, G.V.M. </w:t>
      </w:r>
      <w:r w:rsidRPr="00182117">
        <w:rPr>
          <w:rFonts w:eastAsiaTheme="minorHAnsi"/>
          <w:b/>
          <w:sz w:val="20"/>
          <w:szCs w:val="20"/>
          <w:lang w:eastAsia="en-US"/>
        </w:rPr>
        <w:t xml:space="preserve">Políticas Habitacionais Brasileiras: uma avaliação do Programa Minha Casa Minha Vida em suas duas edições. </w:t>
      </w:r>
      <w:r w:rsidRPr="00182117">
        <w:rPr>
          <w:rFonts w:eastAsiaTheme="minorHAnsi"/>
          <w:sz w:val="20"/>
          <w:szCs w:val="20"/>
          <w:lang w:eastAsia="en-US"/>
        </w:rPr>
        <w:t>Projeto de Graduação. Universidade Federal do Rio de Janeiro URFJ. Rio de Janeiro, 2012. Disponível em: &lt;http://monografias.poli.ufrj.br/monografias/monopoli10004918.pdf</w:t>
      </w:r>
      <w:r w:rsidRPr="00182117">
        <w:rPr>
          <w:rFonts w:eastAsiaTheme="minorHAnsi"/>
          <w:b/>
          <w:sz w:val="20"/>
          <w:szCs w:val="20"/>
          <w:lang w:eastAsia="en-US"/>
        </w:rPr>
        <w:t xml:space="preserve"> </w:t>
      </w:r>
      <w:r w:rsidRPr="00182117">
        <w:rPr>
          <w:rFonts w:eastAsiaTheme="minorHAnsi"/>
          <w:sz w:val="20"/>
          <w:szCs w:val="20"/>
          <w:lang w:eastAsia="en-US"/>
        </w:rPr>
        <w:t>&gt;. Acesso em: 21 out. 2016.</w:t>
      </w:r>
    </w:p>
    <w:p w:rsidR="00DA4FFF" w:rsidRPr="00182117" w:rsidRDefault="00DA4FFF" w:rsidP="00182117">
      <w:pPr>
        <w:autoSpaceDE w:val="0"/>
        <w:autoSpaceDN w:val="0"/>
        <w:adjustRightInd w:val="0"/>
        <w:spacing w:after="120"/>
        <w:rPr>
          <w:rFonts w:eastAsiaTheme="minorHAnsi"/>
          <w:b/>
          <w:sz w:val="20"/>
          <w:szCs w:val="20"/>
          <w:lang w:eastAsia="en-US"/>
        </w:rPr>
      </w:pPr>
      <w:r w:rsidRPr="00182117">
        <w:rPr>
          <w:rFonts w:eastAsiaTheme="minorHAnsi"/>
          <w:sz w:val="20"/>
          <w:szCs w:val="20"/>
        </w:rPr>
        <w:t xml:space="preserve">ANDRADE, S.M.; FISCHER, A.S.; STEFANO, S.R. </w:t>
      </w:r>
      <w:r w:rsidRPr="00182117">
        <w:rPr>
          <w:rFonts w:eastAsiaTheme="minorHAnsi"/>
          <w:sz w:val="20"/>
          <w:szCs w:val="20"/>
          <w:lang w:eastAsia="en-US"/>
        </w:rPr>
        <w:t>Confiança Organizacional e Interpessoal como uma Dimensão de Clima Organizacional</w:t>
      </w:r>
      <w:r w:rsidRPr="00182117">
        <w:rPr>
          <w:rFonts w:eastAsiaTheme="minorHAnsi"/>
          <w:b/>
          <w:sz w:val="20"/>
          <w:szCs w:val="20"/>
          <w:lang w:eastAsia="en-US"/>
        </w:rPr>
        <w:t>. BASE – Revista de Administração e Contabilidade da Unisinos</w:t>
      </w:r>
      <w:r w:rsidRPr="00182117">
        <w:rPr>
          <w:rFonts w:eastAsiaTheme="minorHAnsi"/>
          <w:sz w:val="20"/>
          <w:szCs w:val="20"/>
          <w:lang w:eastAsia="en-US"/>
        </w:rPr>
        <w:t xml:space="preserve">. São Leopoldo, RS, Vol. 12 </w:t>
      </w:r>
      <w:proofErr w:type="gramStart"/>
      <w:r w:rsidRPr="00182117">
        <w:rPr>
          <w:rFonts w:eastAsiaTheme="minorHAnsi"/>
          <w:sz w:val="20"/>
          <w:szCs w:val="20"/>
          <w:lang w:eastAsia="en-US"/>
        </w:rPr>
        <w:t>n</w:t>
      </w:r>
      <w:r w:rsidRPr="00182117">
        <w:rPr>
          <w:rFonts w:eastAsiaTheme="minorHAnsi"/>
          <w:sz w:val="20"/>
          <w:szCs w:val="20"/>
          <w:vertAlign w:val="superscript"/>
          <w:lang w:eastAsia="en-US"/>
        </w:rPr>
        <w:t>o</w:t>
      </w:r>
      <w:r w:rsidRPr="00182117">
        <w:rPr>
          <w:rFonts w:eastAsiaTheme="minorHAnsi"/>
          <w:sz w:val="20"/>
          <w:szCs w:val="20"/>
          <w:lang w:eastAsia="en-US"/>
        </w:rPr>
        <w:t xml:space="preserve"> 2</w:t>
      </w:r>
      <w:proofErr w:type="gramEnd"/>
      <w:r w:rsidRPr="00182117">
        <w:rPr>
          <w:rFonts w:eastAsiaTheme="minorHAnsi"/>
          <w:sz w:val="20"/>
          <w:szCs w:val="20"/>
          <w:lang w:eastAsia="en-US"/>
        </w:rPr>
        <w:t xml:space="preserve">, 2015. </w:t>
      </w:r>
      <w:proofErr w:type="gramStart"/>
      <w:r w:rsidRPr="00182117">
        <w:rPr>
          <w:rFonts w:eastAsiaTheme="minorHAnsi"/>
          <w:sz w:val="20"/>
          <w:szCs w:val="20"/>
          <w:lang w:eastAsia="en-US"/>
        </w:rPr>
        <w:t>pp.</w:t>
      </w:r>
      <w:proofErr w:type="gramEnd"/>
      <w:r w:rsidRPr="00182117">
        <w:rPr>
          <w:rFonts w:eastAsiaTheme="minorHAnsi"/>
          <w:sz w:val="20"/>
          <w:szCs w:val="20"/>
          <w:lang w:eastAsia="en-US"/>
        </w:rPr>
        <w:t xml:space="preserve"> 155 a 166. Disponível em: &lt;</w:t>
      </w:r>
      <w:r w:rsidRPr="00182117">
        <w:rPr>
          <w:sz w:val="20"/>
          <w:szCs w:val="20"/>
        </w:rPr>
        <w:t xml:space="preserve"> </w:t>
      </w:r>
      <w:r w:rsidRPr="00182117">
        <w:rPr>
          <w:rFonts w:eastAsiaTheme="minorHAnsi"/>
          <w:sz w:val="20"/>
          <w:szCs w:val="20"/>
          <w:lang w:eastAsia="en-US"/>
        </w:rPr>
        <w:t>http://webcache.googleusercontent.com/search?q=</w:t>
      </w:r>
      <w:proofErr w:type="gramStart"/>
      <w:r w:rsidRPr="00182117">
        <w:rPr>
          <w:rFonts w:eastAsiaTheme="minorHAnsi"/>
          <w:sz w:val="20"/>
          <w:szCs w:val="20"/>
          <w:lang w:eastAsia="en-US"/>
        </w:rPr>
        <w:t>cache:</w:t>
      </w:r>
      <w:proofErr w:type="gramEnd"/>
      <w:r w:rsidRPr="00182117">
        <w:rPr>
          <w:rFonts w:eastAsiaTheme="minorHAnsi"/>
          <w:sz w:val="20"/>
          <w:szCs w:val="20"/>
          <w:lang w:eastAsia="en-US"/>
        </w:rPr>
        <w:t>zBn-e3FJEhEJ:revistas.unisinos.br/index.php/base/article/download/base.2015.122.06/4687+&amp;cd=2&amp;hl=pt-PT&amp;ct=clnk&amp;gl=br &gt;. Acesso em: 28 nov. 2016</w:t>
      </w:r>
    </w:p>
    <w:p w:rsidR="00DA4FFF" w:rsidRPr="00182117" w:rsidRDefault="00DA4FFF" w:rsidP="00182117">
      <w:pPr>
        <w:autoSpaceDE w:val="0"/>
        <w:autoSpaceDN w:val="0"/>
        <w:adjustRightInd w:val="0"/>
        <w:spacing w:after="120"/>
        <w:rPr>
          <w:rFonts w:eastAsiaTheme="minorHAnsi"/>
          <w:sz w:val="20"/>
          <w:szCs w:val="20"/>
        </w:rPr>
      </w:pPr>
      <w:r w:rsidRPr="00182117">
        <w:rPr>
          <w:rFonts w:eastAsiaTheme="minorHAnsi"/>
          <w:sz w:val="20"/>
          <w:szCs w:val="20"/>
        </w:rPr>
        <w:t>ARRETCHE, M.</w:t>
      </w:r>
      <w:r w:rsidRPr="00182117">
        <w:rPr>
          <w:sz w:val="20"/>
          <w:szCs w:val="20"/>
        </w:rPr>
        <w:t xml:space="preserve"> Federalismo e Relações Intergovernamentais no Brasil: A Reforma de Programas Sociais</w:t>
      </w:r>
      <w:r w:rsidRPr="00182117">
        <w:rPr>
          <w:rFonts w:eastAsiaTheme="minorHAnsi"/>
          <w:sz w:val="20"/>
          <w:szCs w:val="20"/>
        </w:rPr>
        <w:t xml:space="preserve">. </w:t>
      </w:r>
      <w:r w:rsidRPr="00182117">
        <w:rPr>
          <w:b/>
          <w:sz w:val="20"/>
          <w:szCs w:val="20"/>
        </w:rPr>
        <w:t>DADOS – Revista de Ciências Sociais</w:t>
      </w:r>
      <w:r w:rsidRPr="00182117">
        <w:rPr>
          <w:sz w:val="20"/>
          <w:szCs w:val="20"/>
        </w:rPr>
        <w:t>, Rio de Janeiro, Vol. 45, nº3, 2002, pp. 431 a 458. Disponível em &lt;</w:t>
      </w:r>
      <w:r w:rsidRPr="00182117">
        <w:rPr>
          <w:rFonts w:eastAsiaTheme="minorHAnsi"/>
          <w:sz w:val="20"/>
          <w:szCs w:val="20"/>
        </w:rPr>
        <w:t xml:space="preserve">http://www.fflch.usp.br/dcp/assets/docs/Marta/ArretcheDados2003.pdf&gt;. Acesso em: </w:t>
      </w:r>
      <w:proofErr w:type="gramStart"/>
      <w:r w:rsidRPr="00182117">
        <w:rPr>
          <w:rFonts w:eastAsiaTheme="minorHAnsi"/>
          <w:sz w:val="20"/>
          <w:szCs w:val="20"/>
        </w:rPr>
        <w:t>21 maio 2016</w:t>
      </w:r>
      <w:proofErr w:type="gramEnd"/>
    </w:p>
    <w:p w:rsidR="00DA4FFF" w:rsidRPr="00182117" w:rsidRDefault="00DA4FFF" w:rsidP="00182117">
      <w:pPr>
        <w:autoSpaceDE w:val="0"/>
        <w:autoSpaceDN w:val="0"/>
        <w:adjustRightInd w:val="0"/>
        <w:spacing w:after="120"/>
        <w:rPr>
          <w:rFonts w:eastAsiaTheme="minorHAnsi"/>
          <w:sz w:val="20"/>
          <w:szCs w:val="20"/>
        </w:rPr>
      </w:pPr>
      <w:r w:rsidRPr="00182117">
        <w:rPr>
          <w:rFonts w:eastAsiaTheme="minorHAnsi"/>
          <w:sz w:val="20"/>
          <w:szCs w:val="20"/>
        </w:rPr>
        <w:t xml:space="preserve">ASSAD, F. A. </w:t>
      </w:r>
      <w:r w:rsidRPr="00182117">
        <w:rPr>
          <w:rFonts w:eastAsiaTheme="minorHAnsi"/>
          <w:b/>
          <w:sz w:val="20"/>
          <w:szCs w:val="20"/>
        </w:rPr>
        <w:t>Negócios sociais no Brasil: oportunidades e desafios para o setor habitacional</w:t>
      </w:r>
      <w:r w:rsidRPr="00182117">
        <w:rPr>
          <w:rFonts w:eastAsiaTheme="minorHAnsi"/>
          <w:sz w:val="20"/>
          <w:szCs w:val="20"/>
        </w:rPr>
        <w:t>. 2012. Tese (doutorado). Universidade de São Paulo. São Paulo, 2012. Disponível em: &lt;</w:t>
      </w:r>
      <w:proofErr w:type="gramStart"/>
      <w:r w:rsidRPr="00182117">
        <w:rPr>
          <w:rFonts w:eastAsiaTheme="minorHAnsi"/>
          <w:sz w:val="20"/>
          <w:szCs w:val="20"/>
        </w:rPr>
        <w:t>http://www.teses.usp.br/teses/disponiveis/12/12139/tde-12042013-133819/en.</w:t>
      </w:r>
      <w:proofErr w:type="gramEnd"/>
      <w:r w:rsidRPr="00182117">
        <w:rPr>
          <w:rFonts w:eastAsiaTheme="minorHAnsi"/>
          <w:sz w:val="20"/>
          <w:szCs w:val="20"/>
        </w:rPr>
        <w:t xml:space="preserve">php&gt;. Acesso em: </w:t>
      </w:r>
      <w:proofErr w:type="gramStart"/>
      <w:r w:rsidRPr="00182117">
        <w:rPr>
          <w:rFonts w:eastAsiaTheme="minorHAnsi"/>
          <w:sz w:val="20"/>
          <w:szCs w:val="20"/>
        </w:rPr>
        <w:t>18 maio 2016</w:t>
      </w:r>
      <w:proofErr w:type="gramEnd"/>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 xml:space="preserve">BRASIL. </w:t>
      </w:r>
      <w:hyperlink r:id="rId14" w:history="1">
        <w:r w:rsidRPr="00182117">
          <w:rPr>
            <w:rFonts w:eastAsiaTheme="minorHAnsi"/>
            <w:b/>
            <w:sz w:val="20"/>
            <w:szCs w:val="20"/>
          </w:rPr>
          <w:t>Constituição da República Federativa do Brasil de 1988</w:t>
        </w:r>
      </w:hyperlink>
      <w:r w:rsidRPr="00182117">
        <w:rPr>
          <w:rFonts w:eastAsiaTheme="minorHAnsi"/>
          <w:sz w:val="20"/>
          <w:szCs w:val="20"/>
        </w:rPr>
        <w:t>.  Brasília, 1988. Disponível em: &lt;</w:t>
      </w:r>
      <w:hyperlink r:id="rId15" w:history="1">
        <w:r w:rsidRPr="00182117">
          <w:rPr>
            <w:rStyle w:val="Hyperlink"/>
            <w:rFonts w:eastAsiaTheme="minorHAnsi"/>
            <w:color w:val="auto"/>
            <w:sz w:val="20"/>
            <w:szCs w:val="20"/>
          </w:rPr>
          <w:t>http://www.planalto.gov.br/ccivil_03/Constituicao/Constituicao.htm</w:t>
        </w:r>
      </w:hyperlink>
      <w:r w:rsidRPr="00182117">
        <w:rPr>
          <w:rStyle w:val="Hyperlink"/>
          <w:rFonts w:eastAsiaTheme="minorHAnsi"/>
          <w:color w:val="auto"/>
          <w:sz w:val="20"/>
          <w:szCs w:val="20"/>
        </w:rPr>
        <w:t>&gt;</w:t>
      </w:r>
      <w:r w:rsidRPr="00182117">
        <w:rPr>
          <w:rFonts w:eastAsiaTheme="minorHAnsi"/>
          <w:sz w:val="20"/>
          <w:szCs w:val="20"/>
        </w:rPr>
        <w:t>. Acesso em: 17 abr. 2016</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 xml:space="preserve">______. </w:t>
      </w:r>
      <w:r w:rsidRPr="00182117">
        <w:rPr>
          <w:rFonts w:eastAsiaTheme="minorHAnsi"/>
          <w:b/>
          <w:sz w:val="20"/>
          <w:szCs w:val="20"/>
        </w:rPr>
        <w:t>Lei 10.257/2001 Estatuto das Cidades</w:t>
      </w:r>
      <w:r w:rsidRPr="00182117">
        <w:rPr>
          <w:rFonts w:eastAsiaTheme="minorHAnsi"/>
          <w:sz w:val="20"/>
          <w:szCs w:val="20"/>
        </w:rPr>
        <w:t>. Dispõe sobre a regulamentação dos arts. 182 e 183 da Constituição Federal e estabelece diretrizes gerais da política urbana,</w:t>
      </w:r>
      <w:r w:rsidRPr="00182117">
        <w:rPr>
          <w:sz w:val="20"/>
          <w:szCs w:val="20"/>
          <w:shd w:val="clear" w:color="auto" w:fill="FFFFFF"/>
        </w:rPr>
        <w:t xml:space="preserve"> </w:t>
      </w:r>
      <w:r w:rsidRPr="00182117">
        <w:rPr>
          <w:rFonts w:eastAsiaTheme="minorHAnsi"/>
          <w:sz w:val="20"/>
          <w:szCs w:val="20"/>
        </w:rPr>
        <w:t>2001. Disponível em: &lt;</w:t>
      </w:r>
      <w:hyperlink r:id="rId16" w:history="1">
        <w:r w:rsidRPr="00182117">
          <w:rPr>
            <w:rStyle w:val="Hyperlink"/>
            <w:rFonts w:eastAsiaTheme="minorHAnsi"/>
            <w:color w:val="auto"/>
            <w:sz w:val="20"/>
            <w:szCs w:val="20"/>
          </w:rPr>
          <w:t>http://www.planalto.gov.br/ccivil_03/leis/LEIS_2001/L10257.htm</w:t>
        </w:r>
      </w:hyperlink>
      <w:r w:rsidRPr="00182117">
        <w:rPr>
          <w:rStyle w:val="Hyperlink"/>
          <w:rFonts w:eastAsiaTheme="minorHAnsi"/>
          <w:color w:val="auto"/>
          <w:sz w:val="20"/>
          <w:szCs w:val="20"/>
        </w:rPr>
        <w:t>&gt;</w:t>
      </w:r>
      <w:r w:rsidRPr="00182117">
        <w:rPr>
          <w:rFonts w:eastAsiaTheme="minorHAnsi"/>
          <w:sz w:val="20"/>
          <w:szCs w:val="20"/>
        </w:rPr>
        <w:t xml:space="preserve">. Acesso em: 16 abr. 2016 </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 xml:space="preserve">______. </w:t>
      </w:r>
      <w:r w:rsidRPr="00182117">
        <w:rPr>
          <w:rFonts w:eastAsiaTheme="minorHAnsi"/>
          <w:b/>
          <w:sz w:val="20"/>
          <w:szCs w:val="20"/>
        </w:rPr>
        <w:t>Lei 11.977/2009</w:t>
      </w:r>
      <w:r w:rsidRPr="00182117">
        <w:rPr>
          <w:rFonts w:eastAsiaTheme="minorHAnsi"/>
          <w:sz w:val="20"/>
          <w:szCs w:val="20"/>
        </w:rPr>
        <w:t>. Dispõe sobre o Programa Minha Casa, Minha Vida – PMCMV e a regularização fundiária de assentamentos localizados em áreas urbanas. Brasília, 2.009. Disponível em: &lt;</w:t>
      </w:r>
      <w:hyperlink r:id="rId17" w:history="1">
        <w:r w:rsidRPr="00182117">
          <w:rPr>
            <w:rStyle w:val="Hyperlink"/>
            <w:rFonts w:eastAsiaTheme="minorHAnsi"/>
            <w:color w:val="auto"/>
            <w:sz w:val="20"/>
            <w:szCs w:val="20"/>
          </w:rPr>
          <w:t>http://www.planalto.gov.br/ccivil_03/_ato2007-2010/2009/lei/l11977.htm</w:t>
        </w:r>
      </w:hyperlink>
      <w:r w:rsidRPr="00182117">
        <w:rPr>
          <w:rStyle w:val="Hyperlink"/>
          <w:rFonts w:eastAsiaTheme="minorHAnsi"/>
          <w:color w:val="auto"/>
          <w:sz w:val="20"/>
          <w:szCs w:val="20"/>
        </w:rPr>
        <w:t>&gt;</w:t>
      </w:r>
      <w:r w:rsidRPr="00182117">
        <w:rPr>
          <w:rFonts w:eastAsiaTheme="minorHAnsi"/>
          <w:sz w:val="20"/>
          <w:szCs w:val="20"/>
        </w:rPr>
        <w:t>. Acesso em: 24 abr. 2016</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 xml:space="preserve">______. </w:t>
      </w:r>
      <w:r w:rsidRPr="00182117">
        <w:rPr>
          <w:b/>
          <w:sz w:val="20"/>
          <w:szCs w:val="20"/>
        </w:rPr>
        <w:t>Política Nacional de Habitação</w:t>
      </w:r>
      <w:r w:rsidRPr="00182117">
        <w:rPr>
          <w:sz w:val="20"/>
          <w:szCs w:val="20"/>
        </w:rPr>
        <w:t xml:space="preserve">. </w:t>
      </w:r>
      <w:r w:rsidRPr="00182117">
        <w:rPr>
          <w:rFonts w:eastAsiaTheme="minorHAnsi"/>
          <w:sz w:val="20"/>
          <w:szCs w:val="20"/>
        </w:rPr>
        <w:t>Ministério das Cidades, 2.004. Disponível em: &lt;</w:t>
      </w:r>
      <w:hyperlink r:id="rId18" w:history="1">
        <w:r w:rsidRPr="00182117">
          <w:rPr>
            <w:rFonts w:eastAsiaTheme="minorHAnsi"/>
            <w:sz w:val="20"/>
            <w:szCs w:val="20"/>
          </w:rPr>
          <w:t>http://www.sst.sc.gov.br/arquivos/id_submenu/230/politicanacionalhabitacao.pdf</w:t>
        </w:r>
      </w:hyperlink>
      <w:r w:rsidRPr="00182117">
        <w:rPr>
          <w:rFonts w:eastAsiaTheme="minorHAnsi"/>
          <w:sz w:val="20"/>
          <w:szCs w:val="20"/>
        </w:rPr>
        <w:t>&gt;. Acesso em: 24 abr. 2016</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_______.</w:t>
      </w:r>
      <w:r w:rsidRPr="00182117">
        <w:rPr>
          <w:rFonts w:eastAsiaTheme="minorHAnsi"/>
          <w:b/>
          <w:sz w:val="20"/>
          <w:szCs w:val="20"/>
        </w:rPr>
        <w:t xml:space="preserve"> Portaria 168. </w:t>
      </w:r>
      <w:r w:rsidRPr="00182117">
        <w:rPr>
          <w:rFonts w:eastAsiaTheme="minorHAnsi"/>
          <w:sz w:val="20"/>
          <w:szCs w:val="20"/>
        </w:rPr>
        <w:t>Ministério das Cidades, 2013. Disponível em: &lt;http://www.cbic.org.br/sites/default/files/Portaria_M_Cidades_168.pdf&gt;. Acesso em: 08 nov. 2016</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 xml:space="preserve">______. </w:t>
      </w:r>
      <w:r w:rsidRPr="00182117">
        <w:rPr>
          <w:rFonts w:eastAsiaTheme="minorHAnsi"/>
          <w:b/>
          <w:sz w:val="20"/>
          <w:szCs w:val="20"/>
        </w:rPr>
        <w:t>Programa Minha Casa, Minha Vida – Dados do PMCMV por UF - 2009 - 2015.</w:t>
      </w:r>
      <w:r w:rsidRPr="00182117">
        <w:rPr>
          <w:rFonts w:eastAsiaTheme="minorHAnsi"/>
          <w:sz w:val="20"/>
          <w:szCs w:val="20"/>
        </w:rPr>
        <w:t xml:space="preserve"> Ministério das Cidades, Secretária Nacional de Habitação, </w:t>
      </w:r>
      <w:proofErr w:type="gramStart"/>
      <w:r w:rsidRPr="00182117">
        <w:rPr>
          <w:rFonts w:eastAsiaTheme="minorHAnsi"/>
          <w:sz w:val="20"/>
          <w:szCs w:val="20"/>
        </w:rPr>
        <w:t>2016a.</w:t>
      </w:r>
      <w:proofErr w:type="gramEnd"/>
      <w:r w:rsidRPr="00182117">
        <w:rPr>
          <w:rFonts w:eastAsiaTheme="minorHAnsi"/>
          <w:sz w:val="20"/>
          <w:szCs w:val="20"/>
        </w:rPr>
        <w:t xml:space="preserve">  </w:t>
      </w:r>
      <w:proofErr w:type="gramStart"/>
      <w:r w:rsidRPr="00182117">
        <w:rPr>
          <w:rFonts w:eastAsiaTheme="minorHAnsi"/>
          <w:sz w:val="20"/>
          <w:szCs w:val="20"/>
        </w:rPr>
        <w:t>MCidades</w:t>
      </w:r>
      <w:proofErr w:type="gramEnd"/>
      <w:r w:rsidRPr="00182117">
        <w:rPr>
          <w:rFonts w:eastAsiaTheme="minorHAnsi"/>
          <w:sz w:val="20"/>
          <w:szCs w:val="20"/>
        </w:rPr>
        <w:t xml:space="preserve"> e-SIC Serviço Eletrônico de Informação ao Cidadão, 2016.</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______. Ministério das Cidades/Secretaria de Assuntos Estratégicos da Presidência da República</w:t>
      </w:r>
      <w:r w:rsidRPr="00182117">
        <w:rPr>
          <w:rFonts w:eastAsiaTheme="minorHAnsi"/>
          <w:b/>
          <w:sz w:val="20"/>
          <w:szCs w:val="20"/>
        </w:rPr>
        <w:t>. Pesquisa de satisfação dos beneficiários do Programa Minha Casa Minha Vida</w:t>
      </w:r>
      <w:r w:rsidRPr="00182117">
        <w:rPr>
          <w:rFonts w:eastAsiaTheme="minorHAnsi"/>
          <w:sz w:val="20"/>
          <w:szCs w:val="20"/>
        </w:rPr>
        <w:t>. Brasília, DF: MCIDADES; SNH; SAE-PR; IPEA, 2014.</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 xml:space="preserve">______. </w:t>
      </w:r>
      <w:r w:rsidRPr="00182117">
        <w:rPr>
          <w:rFonts w:eastAsiaTheme="minorHAnsi"/>
          <w:b/>
          <w:sz w:val="20"/>
          <w:szCs w:val="20"/>
        </w:rPr>
        <w:t>Programa Minha Casa, Minha Vida – São Gotardo/MG.</w:t>
      </w:r>
      <w:r w:rsidRPr="00182117">
        <w:rPr>
          <w:rFonts w:eastAsiaTheme="minorHAnsi"/>
          <w:sz w:val="20"/>
          <w:szCs w:val="20"/>
        </w:rPr>
        <w:t xml:space="preserve"> Ministério das Cidades, Secretária Nacional de Habitação, 2016b.  </w:t>
      </w:r>
      <w:proofErr w:type="gramStart"/>
      <w:r w:rsidRPr="00182117">
        <w:rPr>
          <w:rFonts w:eastAsiaTheme="minorHAnsi"/>
          <w:sz w:val="20"/>
          <w:szCs w:val="20"/>
        </w:rPr>
        <w:t>MCidades</w:t>
      </w:r>
      <w:proofErr w:type="gramEnd"/>
      <w:r w:rsidRPr="00182117">
        <w:rPr>
          <w:rFonts w:eastAsiaTheme="minorHAnsi"/>
          <w:sz w:val="20"/>
          <w:szCs w:val="20"/>
        </w:rPr>
        <w:t xml:space="preserve"> e-SIC Serviço Eletrônico de Informação ao Cidadão, 2016.</w:t>
      </w:r>
    </w:p>
    <w:p w:rsidR="00DA4FFF" w:rsidRPr="00182117" w:rsidRDefault="00DA4FFF" w:rsidP="00182117">
      <w:pPr>
        <w:spacing w:after="120"/>
        <w:outlineLvl w:val="3"/>
        <w:rPr>
          <w:sz w:val="20"/>
          <w:szCs w:val="20"/>
          <w:shd w:val="clear" w:color="auto" w:fill="FFFFFF"/>
        </w:rPr>
      </w:pPr>
      <w:r w:rsidRPr="00182117">
        <w:rPr>
          <w:sz w:val="20"/>
          <w:szCs w:val="20"/>
        </w:rPr>
        <w:t xml:space="preserve">BARDIN, L. </w:t>
      </w:r>
      <w:r w:rsidRPr="00182117">
        <w:rPr>
          <w:b/>
          <w:bCs/>
          <w:sz w:val="20"/>
          <w:szCs w:val="20"/>
        </w:rPr>
        <w:t>Análise de conteúdo</w:t>
      </w:r>
      <w:r w:rsidRPr="00182117">
        <w:rPr>
          <w:sz w:val="20"/>
          <w:szCs w:val="20"/>
        </w:rPr>
        <w:t>. Lisboa: Edições 70, 1995.</w:t>
      </w:r>
      <w:r w:rsidRPr="00182117">
        <w:rPr>
          <w:sz w:val="20"/>
          <w:szCs w:val="20"/>
          <w:shd w:val="clear" w:color="auto" w:fill="FFFFFF"/>
        </w:rPr>
        <w:t xml:space="preserve"> </w:t>
      </w:r>
    </w:p>
    <w:p w:rsidR="00DA4FFF" w:rsidRPr="00182117" w:rsidRDefault="00DA4FFF" w:rsidP="00182117">
      <w:pPr>
        <w:spacing w:after="120"/>
        <w:rPr>
          <w:rFonts w:eastAsiaTheme="minorHAnsi"/>
          <w:sz w:val="20"/>
          <w:szCs w:val="20"/>
          <w:lang w:eastAsia="en-US"/>
        </w:rPr>
      </w:pPr>
      <w:r w:rsidRPr="00182117">
        <w:rPr>
          <w:sz w:val="20"/>
          <w:szCs w:val="20"/>
          <w:shd w:val="clear" w:color="auto" w:fill="FFFFFF"/>
        </w:rPr>
        <w:t xml:space="preserve">BONDUKI, N. </w:t>
      </w:r>
      <w:r w:rsidRPr="00182117">
        <w:rPr>
          <w:rFonts w:eastAsiaTheme="minorHAnsi"/>
          <w:b/>
          <w:sz w:val="20"/>
          <w:szCs w:val="20"/>
        </w:rPr>
        <w:t>Política habitacional e inclusão social no Brasil</w:t>
      </w:r>
      <w:r w:rsidRPr="00182117">
        <w:rPr>
          <w:b/>
          <w:sz w:val="20"/>
          <w:szCs w:val="20"/>
          <w:shd w:val="clear" w:color="auto" w:fill="FFFFFF"/>
        </w:rPr>
        <w:t xml:space="preserve">: </w:t>
      </w:r>
      <w:r w:rsidRPr="00182117">
        <w:rPr>
          <w:rFonts w:eastAsiaTheme="minorHAnsi"/>
          <w:sz w:val="20"/>
          <w:szCs w:val="20"/>
        </w:rPr>
        <w:t xml:space="preserve">revisão histórica e novas </w:t>
      </w:r>
      <w:r w:rsidRPr="00182117">
        <w:rPr>
          <w:rFonts w:eastAsiaTheme="minorHAnsi"/>
          <w:bCs/>
          <w:sz w:val="20"/>
          <w:szCs w:val="20"/>
        </w:rPr>
        <w:t>perspectivas</w:t>
      </w:r>
      <w:r w:rsidRPr="00182117">
        <w:rPr>
          <w:rFonts w:eastAsiaTheme="minorHAnsi"/>
          <w:sz w:val="20"/>
          <w:szCs w:val="20"/>
        </w:rPr>
        <w:t xml:space="preserve"> no governo Lula. 2008. Dissertação (Mestrado). Universidade São Judas Tadeu. Disponível em: </w:t>
      </w:r>
      <w:r w:rsidRPr="00182117">
        <w:rPr>
          <w:rFonts w:eastAsiaTheme="minorHAnsi"/>
          <w:sz w:val="20"/>
          <w:szCs w:val="20"/>
          <w:lang w:eastAsia="en-US"/>
        </w:rPr>
        <w:t>&lt;</w:t>
      </w:r>
      <w:hyperlink r:id="rId19" w:history="1">
        <w:r w:rsidRPr="00182117">
          <w:rPr>
            <w:rFonts w:eastAsiaTheme="minorHAnsi"/>
            <w:sz w:val="20"/>
            <w:szCs w:val="20"/>
            <w:lang w:eastAsia="en-US"/>
          </w:rPr>
          <w:t>http://mirror.usjt.br/arq.urb/numero_01/artigo_05_180908.pdf</w:t>
        </w:r>
      </w:hyperlink>
      <w:r w:rsidRPr="00182117">
        <w:rPr>
          <w:rFonts w:eastAsiaTheme="minorHAnsi"/>
          <w:sz w:val="20"/>
          <w:szCs w:val="20"/>
          <w:lang w:eastAsia="en-US"/>
        </w:rPr>
        <w:t>&gt;. Acesso em: 07 jun. 2016</w:t>
      </w:r>
    </w:p>
    <w:p w:rsidR="00DA4FFF" w:rsidRPr="00182117" w:rsidRDefault="00DA4FFF" w:rsidP="00182117">
      <w:pPr>
        <w:spacing w:after="120"/>
        <w:rPr>
          <w:rFonts w:eastAsiaTheme="minorHAnsi"/>
          <w:sz w:val="20"/>
          <w:szCs w:val="20"/>
          <w:lang w:eastAsia="en-US"/>
        </w:rPr>
      </w:pPr>
      <w:r w:rsidRPr="00182117">
        <w:rPr>
          <w:rFonts w:eastAsiaTheme="minorHAnsi"/>
          <w:sz w:val="20"/>
          <w:szCs w:val="20"/>
          <w:lang w:eastAsia="en-US"/>
        </w:rPr>
        <w:t xml:space="preserve">CHERKEZIAN, H.; BOLAFFI, G. Os Caminhos do Mal-Estar Social: Habitação e Urbanismo no Brasil. </w:t>
      </w:r>
      <w:r w:rsidRPr="00182117">
        <w:rPr>
          <w:b/>
          <w:sz w:val="20"/>
          <w:szCs w:val="20"/>
        </w:rPr>
        <w:t>Novos Estudos CEBRAP</w:t>
      </w:r>
      <w:r w:rsidRPr="00182117">
        <w:rPr>
          <w:sz w:val="20"/>
          <w:szCs w:val="20"/>
        </w:rPr>
        <w:t xml:space="preserve"> n.50, março 1998 pp. 125-147</w:t>
      </w:r>
      <w:r w:rsidRPr="00182117">
        <w:rPr>
          <w:rFonts w:eastAsiaTheme="minorHAnsi"/>
          <w:sz w:val="20"/>
          <w:szCs w:val="20"/>
          <w:lang w:eastAsia="en-US"/>
        </w:rPr>
        <w:t>. Disponível em:&lt;http://novosestudos.uol.com.br/v1/files/uploads/contents/84/20080627_os_caminhos_do_mal_estar.pdf&gt;. Acesso em: 06 out. 2016</w:t>
      </w:r>
    </w:p>
    <w:p w:rsidR="00DA4FFF" w:rsidRPr="00182117" w:rsidRDefault="00DA4FFF" w:rsidP="00182117">
      <w:pPr>
        <w:spacing w:after="120"/>
        <w:rPr>
          <w:sz w:val="20"/>
          <w:szCs w:val="20"/>
        </w:rPr>
      </w:pPr>
      <w:r w:rsidRPr="00182117">
        <w:rPr>
          <w:sz w:val="20"/>
          <w:szCs w:val="20"/>
        </w:rPr>
        <w:t xml:space="preserve">DATASUS. </w:t>
      </w:r>
      <w:r w:rsidRPr="00182117">
        <w:rPr>
          <w:b/>
          <w:sz w:val="20"/>
          <w:szCs w:val="20"/>
        </w:rPr>
        <w:t xml:space="preserve">Índice de Gini </w:t>
      </w:r>
      <w:proofErr w:type="gramStart"/>
      <w:r w:rsidRPr="00182117">
        <w:rPr>
          <w:b/>
          <w:sz w:val="20"/>
          <w:szCs w:val="20"/>
        </w:rPr>
        <w:t>da renda domiciliar</w:t>
      </w:r>
      <w:proofErr w:type="gramEnd"/>
      <w:r w:rsidRPr="00182117">
        <w:rPr>
          <w:b/>
          <w:sz w:val="20"/>
          <w:szCs w:val="20"/>
        </w:rPr>
        <w:t> per capita - Minas Gerais.</w:t>
      </w:r>
      <w:r w:rsidRPr="00182117">
        <w:rPr>
          <w:sz w:val="20"/>
          <w:szCs w:val="20"/>
        </w:rPr>
        <w:t xml:space="preserve"> 2016. Disponível em: &lt;</w:t>
      </w:r>
      <w:proofErr w:type="gramStart"/>
      <w:r w:rsidRPr="00182117">
        <w:rPr>
          <w:sz w:val="20"/>
          <w:szCs w:val="20"/>
        </w:rPr>
        <w:t>http://tabnet.datasus.gov.br/cgi/ibge/censo/cnv/ginimg.</w:t>
      </w:r>
      <w:proofErr w:type="gramEnd"/>
      <w:r w:rsidRPr="00182117">
        <w:rPr>
          <w:sz w:val="20"/>
          <w:szCs w:val="20"/>
        </w:rPr>
        <w:t>def&gt;. Acesso em: 06 out. 2016</w:t>
      </w:r>
    </w:p>
    <w:p w:rsidR="00DA4FFF" w:rsidRPr="00182117" w:rsidRDefault="00DA4FFF" w:rsidP="00182117">
      <w:pPr>
        <w:spacing w:after="120"/>
        <w:rPr>
          <w:sz w:val="20"/>
          <w:szCs w:val="20"/>
        </w:rPr>
      </w:pPr>
      <w:r w:rsidRPr="00182117">
        <w:rPr>
          <w:sz w:val="20"/>
          <w:szCs w:val="20"/>
        </w:rPr>
        <w:t xml:space="preserve">FACHIN, O. </w:t>
      </w:r>
      <w:r w:rsidRPr="00182117">
        <w:rPr>
          <w:b/>
          <w:bCs/>
          <w:sz w:val="20"/>
          <w:szCs w:val="20"/>
        </w:rPr>
        <w:t xml:space="preserve">Fundamentos de Metodologia. </w:t>
      </w:r>
      <w:r w:rsidRPr="00182117">
        <w:rPr>
          <w:sz w:val="20"/>
          <w:szCs w:val="20"/>
        </w:rPr>
        <w:t xml:space="preserve">5. </w:t>
      </w:r>
      <w:proofErr w:type="gramStart"/>
      <w:r w:rsidRPr="00182117">
        <w:rPr>
          <w:sz w:val="20"/>
          <w:szCs w:val="20"/>
        </w:rPr>
        <w:t>ed.</w:t>
      </w:r>
      <w:proofErr w:type="gramEnd"/>
      <w:r w:rsidRPr="00182117">
        <w:rPr>
          <w:sz w:val="20"/>
          <w:szCs w:val="20"/>
        </w:rPr>
        <w:t xml:space="preserve"> São Paulo: Saraiva, 2006.</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 xml:space="preserve">FLICK, U. </w:t>
      </w:r>
      <w:r w:rsidRPr="00182117">
        <w:rPr>
          <w:rFonts w:eastAsiaTheme="minorHAnsi"/>
          <w:b/>
          <w:sz w:val="20"/>
          <w:szCs w:val="20"/>
        </w:rPr>
        <w:t xml:space="preserve">Introdução à pesquisa qualitativa. </w:t>
      </w:r>
      <w:r w:rsidRPr="00182117">
        <w:rPr>
          <w:rFonts w:eastAsiaTheme="minorHAnsi"/>
          <w:sz w:val="20"/>
          <w:szCs w:val="20"/>
        </w:rPr>
        <w:t xml:space="preserve">3. </w:t>
      </w:r>
      <w:proofErr w:type="gramStart"/>
      <w:r w:rsidRPr="00182117">
        <w:rPr>
          <w:rFonts w:eastAsiaTheme="minorHAnsi"/>
          <w:sz w:val="20"/>
          <w:szCs w:val="20"/>
        </w:rPr>
        <w:t>ed.</w:t>
      </w:r>
      <w:proofErr w:type="gramEnd"/>
      <w:r w:rsidRPr="00182117">
        <w:rPr>
          <w:rFonts w:eastAsiaTheme="minorHAnsi"/>
          <w:sz w:val="20"/>
          <w:szCs w:val="20"/>
        </w:rPr>
        <w:t xml:space="preserve"> Porto Alegre: Artmed, 2009.</w:t>
      </w:r>
    </w:p>
    <w:p w:rsidR="00DA4FFF" w:rsidRPr="00182117" w:rsidRDefault="00DA4FFF" w:rsidP="00182117">
      <w:pPr>
        <w:tabs>
          <w:tab w:val="left" w:pos="1276"/>
        </w:tabs>
        <w:autoSpaceDE w:val="0"/>
        <w:autoSpaceDN w:val="0"/>
        <w:adjustRightInd w:val="0"/>
        <w:spacing w:after="120"/>
        <w:rPr>
          <w:rFonts w:eastAsiaTheme="minorHAnsi"/>
          <w:sz w:val="20"/>
          <w:szCs w:val="20"/>
        </w:rPr>
      </w:pPr>
      <w:r w:rsidRPr="00182117">
        <w:rPr>
          <w:rFonts w:eastAsiaTheme="minorHAnsi"/>
          <w:sz w:val="20"/>
          <w:szCs w:val="20"/>
        </w:rPr>
        <w:t>FJP – FUNDAÇÃO JOÃO PINHEIRO. Centro de Estatística e Informação</w:t>
      </w:r>
      <w:r w:rsidRPr="00182117">
        <w:rPr>
          <w:rFonts w:eastAsiaTheme="minorHAnsi"/>
          <w:b/>
          <w:sz w:val="20"/>
          <w:szCs w:val="20"/>
        </w:rPr>
        <w:t>. Déficit habitacional no Brasil – Relatório 2013-2014</w:t>
      </w:r>
      <w:r w:rsidRPr="00182117">
        <w:rPr>
          <w:rFonts w:eastAsiaTheme="minorHAnsi"/>
          <w:sz w:val="20"/>
          <w:szCs w:val="20"/>
        </w:rPr>
        <w:t xml:space="preserve">. Belo Horizonte, 2016a, 94 p. Disponível em: </w:t>
      </w:r>
      <w:r w:rsidRPr="00182117">
        <w:rPr>
          <w:rFonts w:eastAsiaTheme="minorHAnsi"/>
          <w:sz w:val="20"/>
          <w:szCs w:val="20"/>
        </w:rPr>
        <w:lastRenderedPageBreak/>
        <w:t>&lt;</w:t>
      </w:r>
      <w:proofErr w:type="gramStart"/>
      <w:r w:rsidRPr="00182117">
        <w:rPr>
          <w:rFonts w:eastAsiaTheme="minorHAnsi"/>
          <w:sz w:val="20"/>
          <w:szCs w:val="20"/>
        </w:rPr>
        <w:t>http://www.fjp.mg.gov.br/index.</w:t>
      </w:r>
      <w:proofErr w:type="gramEnd"/>
      <w:r w:rsidRPr="00182117">
        <w:rPr>
          <w:rFonts w:eastAsiaTheme="minorHAnsi"/>
          <w:sz w:val="20"/>
          <w:szCs w:val="20"/>
        </w:rPr>
        <w:t xml:space="preserve">php/docman/cei/informativos-cei-eventuais/634-deficit-habitacional-06-09-2016/file&gt;. Acesso em: 29 set. 2016 </w:t>
      </w:r>
    </w:p>
    <w:p w:rsidR="00DA4FFF" w:rsidRPr="00182117" w:rsidRDefault="00DA4FFF" w:rsidP="00182117">
      <w:pPr>
        <w:spacing w:after="120"/>
        <w:rPr>
          <w:sz w:val="20"/>
          <w:szCs w:val="20"/>
        </w:rPr>
      </w:pPr>
      <w:r w:rsidRPr="00182117">
        <w:rPr>
          <w:sz w:val="20"/>
          <w:szCs w:val="20"/>
        </w:rPr>
        <w:t>______. Centro de Estatística e Informação</w:t>
      </w:r>
      <w:r w:rsidRPr="00182117">
        <w:rPr>
          <w:b/>
          <w:bCs/>
          <w:sz w:val="20"/>
          <w:szCs w:val="20"/>
        </w:rPr>
        <w:t>. Déficit habitacional no Brasil – Relatório 2011-2012</w:t>
      </w:r>
      <w:r w:rsidRPr="00182117">
        <w:rPr>
          <w:sz w:val="20"/>
          <w:szCs w:val="20"/>
        </w:rPr>
        <w:t>. Belo Horizonte, 2015, 128 p. Disponível em: &lt;</w:t>
      </w:r>
      <w:proofErr w:type="gramStart"/>
      <w:r w:rsidRPr="00182117">
        <w:rPr>
          <w:sz w:val="20"/>
          <w:szCs w:val="20"/>
        </w:rPr>
        <w:t>http://www.fjp.mg.gov.br/index.</w:t>
      </w:r>
      <w:proofErr w:type="gramEnd"/>
      <w:r w:rsidRPr="00182117">
        <w:rPr>
          <w:sz w:val="20"/>
          <w:szCs w:val="20"/>
        </w:rPr>
        <w:t>php/docman/cei/559-deficit-habitacional-2011-2012/file &gt;. Acesso em: 29 set. 2016</w:t>
      </w:r>
    </w:p>
    <w:p w:rsidR="00DA4FFF" w:rsidRPr="00182117" w:rsidRDefault="00DA4FFF" w:rsidP="00182117">
      <w:pPr>
        <w:spacing w:after="120"/>
        <w:rPr>
          <w:sz w:val="20"/>
          <w:szCs w:val="20"/>
        </w:rPr>
      </w:pPr>
      <w:r w:rsidRPr="00182117">
        <w:rPr>
          <w:sz w:val="20"/>
          <w:szCs w:val="20"/>
        </w:rPr>
        <w:t>______. Centro de Estatística e Informação</w:t>
      </w:r>
      <w:r w:rsidRPr="00182117">
        <w:rPr>
          <w:b/>
          <w:bCs/>
          <w:sz w:val="20"/>
          <w:szCs w:val="20"/>
        </w:rPr>
        <w:t>. Déficit habitacional municipal no Brasil – Relatório 2010.</w:t>
      </w:r>
      <w:r w:rsidRPr="00182117">
        <w:rPr>
          <w:sz w:val="20"/>
          <w:szCs w:val="20"/>
        </w:rPr>
        <w:t xml:space="preserve"> Belo Horizonte, 2013, 80 p. Disponível em: &lt;</w:t>
      </w:r>
      <w:proofErr w:type="gramStart"/>
      <w:r w:rsidRPr="00182117">
        <w:rPr>
          <w:sz w:val="20"/>
          <w:szCs w:val="20"/>
        </w:rPr>
        <w:t>http://www.fjp.mg.gov.br/index.</w:t>
      </w:r>
      <w:proofErr w:type="gramEnd"/>
      <w:r w:rsidRPr="00182117">
        <w:rPr>
          <w:sz w:val="20"/>
          <w:szCs w:val="20"/>
        </w:rPr>
        <w:t>php/docman/cei/deficit-habitacional/216-deficit-habitacional-municipal-no-brasil-2010/file &gt;. Acesso em: 29 set. 2016</w:t>
      </w:r>
    </w:p>
    <w:p w:rsidR="00DA4FFF" w:rsidRPr="00182117" w:rsidRDefault="00DA4FFF" w:rsidP="00182117">
      <w:pPr>
        <w:spacing w:after="120"/>
        <w:rPr>
          <w:sz w:val="20"/>
          <w:szCs w:val="20"/>
        </w:rPr>
      </w:pPr>
      <w:r w:rsidRPr="00182117">
        <w:rPr>
          <w:sz w:val="20"/>
          <w:szCs w:val="20"/>
        </w:rPr>
        <w:t>______. Centro de Estatística e Informação</w:t>
      </w:r>
      <w:r w:rsidRPr="00182117">
        <w:rPr>
          <w:b/>
          <w:bCs/>
          <w:sz w:val="20"/>
          <w:szCs w:val="20"/>
        </w:rPr>
        <w:t>. Déficit habitacional no Brasil – Relatório 2009.</w:t>
      </w:r>
      <w:r w:rsidRPr="00182117">
        <w:rPr>
          <w:sz w:val="20"/>
          <w:szCs w:val="20"/>
        </w:rPr>
        <w:t xml:space="preserve"> Belo Horizonte, 2012, 112 p. Disponível em: &lt;</w:t>
      </w:r>
      <w:proofErr w:type="gramStart"/>
      <w:r w:rsidRPr="00182117">
        <w:rPr>
          <w:sz w:val="20"/>
          <w:szCs w:val="20"/>
        </w:rPr>
        <w:t>http://www.fjp.mg.gov.br/index.</w:t>
      </w:r>
      <w:proofErr w:type="gramEnd"/>
      <w:r w:rsidRPr="00182117">
        <w:rPr>
          <w:sz w:val="20"/>
          <w:szCs w:val="20"/>
        </w:rPr>
        <w:t>php/docman/cei/deficit-habitacional/185-deficit-habitacional-2009/file&gt;. Acesso em: 29 set. 2016</w:t>
      </w:r>
    </w:p>
    <w:p w:rsidR="00DA4FFF" w:rsidRPr="00182117" w:rsidRDefault="00DA4FFF" w:rsidP="00182117">
      <w:pPr>
        <w:spacing w:after="120"/>
        <w:rPr>
          <w:sz w:val="20"/>
          <w:szCs w:val="20"/>
        </w:rPr>
      </w:pPr>
      <w:r w:rsidRPr="00182117">
        <w:rPr>
          <w:sz w:val="20"/>
          <w:szCs w:val="20"/>
        </w:rPr>
        <w:t>______. Centro de Estatística e Informação</w:t>
      </w:r>
      <w:r w:rsidRPr="00182117">
        <w:rPr>
          <w:b/>
          <w:bCs/>
          <w:sz w:val="20"/>
          <w:szCs w:val="20"/>
        </w:rPr>
        <w:t>. Déficit habitacional no Brasil – Relatório 2007-2008.</w:t>
      </w:r>
      <w:r w:rsidRPr="00182117">
        <w:rPr>
          <w:sz w:val="20"/>
          <w:szCs w:val="20"/>
        </w:rPr>
        <w:t xml:space="preserve"> Brasília, 2011, 141 p. Disponível em: &lt;</w:t>
      </w:r>
      <w:proofErr w:type="gramStart"/>
      <w:r w:rsidRPr="00182117">
        <w:rPr>
          <w:sz w:val="20"/>
          <w:szCs w:val="20"/>
        </w:rPr>
        <w:t>http://www.fjp.mg.gov.br/index.</w:t>
      </w:r>
      <w:proofErr w:type="gramEnd"/>
      <w:r w:rsidRPr="00182117">
        <w:rPr>
          <w:sz w:val="20"/>
          <w:szCs w:val="20"/>
        </w:rPr>
        <w:t>php/docman/cei/deficit-habitacional/110-deficit-habitacional-no-brasil-2008/file&gt;. Acesso em: 29 set. 2016</w:t>
      </w:r>
    </w:p>
    <w:p w:rsidR="00DA4FFF" w:rsidRPr="00182117" w:rsidRDefault="00DA4FFF" w:rsidP="00182117">
      <w:pPr>
        <w:spacing w:after="120"/>
        <w:rPr>
          <w:sz w:val="20"/>
          <w:szCs w:val="20"/>
        </w:rPr>
      </w:pPr>
      <w:r w:rsidRPr="00182117">
        <w:rPr>
          <w:sz w:val="20"/>
          <w:szCs w:val="20"/>
        </w:rPr>
        <w:t xml:space="preserve">______. </w:t>
      </w:r>
      <w:r w:rsidRPr="00182117">
        <w:rPr>
          <w:b/>
          <w:sz w:val="20"/>
          <w:szCs w:val="20"/>
        </w:rPr>
        <w:t>Perfil dos Municípios,</w:t>
      </w:r>
      <w:r w:rsidRPr="00182117">
        <w:rPr>
          <w:sz w:val="20"/>
          <w:szCs w:val="20"/>
        </w:rPr>
        <w:t xml:space="preserve"> </w:t>
      </w:r>
      <w:r w:rsidRPr="00182117">
        <w:rPr>
          <w:rFonts w:eastAsiaTheme="minorHAnsi"/>
          <w:sz w:val="20"/>
          <w:szCs w:val="20"/>
        </w:rPr>
        <w:t>2016b</w:t>
      </w:r>
      <w:r w:rsidRPr="00182117">
        <w:rPr>
          <w:sz w:val="20"/>
          <w:szCs w:val="20"/>
        </w:rPr>
        <w:t>. Disponível em: &lt;http://atlasbrasil.org.br/2013/pt/perfil_m/sao-gotardo_mg&gt;. Acesso em: 06 out. 2016</w:t>
      </w:r>
    </w:p>
    <w:p w:rsidR="00DA4FFF" w:rsidRPr="00182117" w:rsidRDefault="00DA4FFF" w:rsidP="00182117">
      <w:pPr>
        <w:spacing w:after="120"/>
        <w:rPr>
          <w:sz w:val="20"/>
          <w:szCs w:val="20"/>
        </w:rPr>
      </w:pPr>
      <w:r w:rsidRPr="00182117">
        <w:rPr>
          <w:sz w:val="20"/>
          <w:szCs w:val="20"/>
        </w:rPr>
        <w:t xml:space="preserve">GIL, A.C. </w:t>
      </w:r>
      <w:r w:rsidRPr="00182117">
        <w:rPr>
          <w:b/>
          <w:bCs/>
          <w:sz w:val="20"/>
          <w:szCs w:val="20"/>
        </w:rPr>
        <w:t xml:space="preserve">Métodos e Técnicas de Pesquisa Social. </w:t>
      </w:r>
      <w:r w:rsidRPr="00182117">
        <w:rPr>
          <w:sz w:val="20"/>
          <w:szCs w:val="20"/>
        </w:rPr>
        <w:t xml:space="preserve">5. </w:t>
      </w:r>
      <w:proofErr w:type="gramStart"/>
      <w:r w:rsidRPr="00182117">
        <w:rPr>
          <w:sz w:val="20"/>
          <w:szCs w:val="20"/>
        </w:rPr>
        <w:t>ed.</w:t>
      </w:r>
      <w:proofErr w:type="gramEnd"/>
      <w:r w:rsidRPr="00182117">
        <w:rPr>
          <w:sz w:val="20"/>
          <w:szCs w:val="20"/>
        </w:rPr>
        <w:t xml:space="preserve"> São Paulo: Atlas, 2007.</w:t>
      </w:r>
    </w:p>
    <w:p w:rsidR="00DA4FFF" w:rsidRPr="00182117" w:rsidRDefault="00DA4FFF" w:rsidP="00182117">
      <w:pPr>
        <w:pStyle w:val="Default"/>
        <w:spacing w:after="120"/>
        <w:rPr>
          <w:rFonts w:eastAsia="Times New Roman"/>
          <w:color w:val="auto"/>
          <w:sz w:val="20"/>
          <w:szCs w:val="20"/>
          <w:lang w:eastAsia="pt-BR"/>
        </w:rPr>
      </w:pPr>
      <w:r w:rsidRPr="00182117">
        <w:rPr>
          <w:iCs/>
          <w:color w:val="auto"/>
          <w:sz w:val="20"/>
          <w:szCs w:val="20"/>
        </w:rPr>
        <w:t>MORAIS. M.V.</w:t>
      </w:r>
      <w:proofErr w:type="gramStart"/>
      <w:r w:rsidRPr="00182117">
        <w:rPr>
          <w:iCs/>
          <w:color w:val="auto"/>
          <w:sz w:val="20"/>
          <w:szCs w:val="20"/>
        </w:rPr>
        <w:t xml:space="preserve"> </w:t>
      </w:r>
      <w:r w:rsidRPr="00182117">
        <w:rPr>
          <w:color w:val="auto"/>
          <w:sz w:val="20"/>
          <w:szCs w:val="20"/>
        </w:rPr>
        <w:t xml:space="preserve"> </w:t>
      </w:r>
      <w:proofErr w:type="gramEnd"/>
      <w:r w:rsidRPr="00182117">
        <w:rPr>
          <w:b/>
          <w:color w:val="auto"/>
          <w:sz w:val="20"/>
          <w:szCs w:val="20"/>
        </w:rPr>
        <w:t xml:space="preserve">Proposta de melhoria do projeto de habitação de interesse social a partir da visão dos clientes finais. </w:t>
      </w:r>
      <w:r w:rsidRPr="00182117">
        <w:rPr>
          <w:color w:val="auto"/>
          <w:sz w:val="20"/>
          <w:szCs w:val="20"/>
        </w:rPr>
        <w:t xml:space="preserve">Dissertação (Mestrado). Fortaleza, 2015, 195 p. Disponível em: </w:t>
      </w:r>
      <w:r w:rsidRPr="00182117">
        <w:rPr>
          <w:rFonts w:eastAsia="Times New Roman"/>
          <w:color w:val="auto"/>
          <w:sz w:val="20"/>
          <w:szCs w:val="20"/>
          <w:lang w:eastAsia="pt-BR"/>
        </w:rPr>
        <w:t>&lt;</w:t>
      </w:r>
      <w:hyperlink r:id="rId20" w:history="1">
        <w:r w:rsidRPr="00182117">
          <w:rPr>
            <w:rFonts w:eastAsia="Times New Roman"/>
            <w:color w:val="auto"/>
            <w:sz w:val="20"/>
            <w:szCs w:val="20"/>
            <w:lang w:eastAsia="pt-BR"/>
          </w:rPr>
          <w:t>http://repositorio.ufc.br/bitstream/riufc/13075/1/2015_dis_mvmorais.pdf</w:t>
        </w:r>
      </w:hyperlink>
      <w:r w:rsidRPr="00182117">
        <w:rPr>
          <w:rFonts w:eastAsia="Times New Roman"/>
          <w:color w:val="auto"/>
          <w:sz w:val="20"/>
          <w:szCs w:val="20"/>
          <w:lang w:eastAsia="pt-BR"/>
        </w:rPr>
        <w:t>&gt;. Acesso em: 21 out. 2016</w:t>
      </w:r>
    </w:p>
    <w:p w:rsidR="00DA4FFF" w:rsidRPr="00182117" w:rsidRDefault="00DA4FFF" w:rsidP="00182117">
      <w:pPr>
        <w:spacing w:after="120"/>
        <w:rPr>
          <w:sz w:val="20"/>
          <w:szCs w:val="20"/>
        </w:rPr>
      </w:pPr>
      <w:r w:rsidRPr="00182117">
        <w:rPr>
          <w:iCs/>
          <w:sz w:val="20"/>
          <w:szCs w:val="20"/>
        </w:rPr>
        <w:t xml:space="preserve">MOREIRA, V. D. S., SILVEIRA, S.D.F.R. </w:t>
      </w:r>
      <w:r w:rsidRPr="00182117">
        <w:rPr>
          <w:sz w:val="20"/>
          <w:szCs w:val="20"/>
        </w:rPr>
        <w:t xml:space="preserve">Indicadores de desempenho do Programa Minha Casa, Minha Vida: avaliação com base na satisfação dos beneficiários. </w:t>
      </w:r>
      <w:r w:rsidRPr="00182117">
        <w:rPr>
          <w:b/>
          <w:sz w:val="20"/>
          <w:szCs w:val="20"/>
        </w:rPr>
        <w:t>Cadernos Gestão Pública e Cidadania</w:t>
      </w:r>
      <w:r w:rsidRPr="00182117">
        <w:rPr>
          <w:sz w:val="20"/>
          <w:szCs w:val="20"/>
        </w:rPr>
        <w:t>. São Paulo, v. 20, n. 66, Jan./Jun. 2015. Disponível em: &lt;</w:t>
      </w:r>
      <w:hyperlink r:id="rId21" w:history="1">
        <w:r w:rsidRPr="00182117">
          <w:rPr>
            <w:sz w:val="20"/>
            <w:szCs w:val="20"/>
          </w:rPr>
          <w:t>http://bibliotecadigital.fgv.br/ojs/index.php/cgpc/article/view/41079</w:t>
        </w:r>
      </w:hyperlink>
      <w:r w:rsidRPr="00182117">
        <w:rPr>
          <w:sz w:val="20"/>
          <w:szCs w:val="20"/>
        </w:rPr>
        <w:t xml:space="preserve">&gt;. Acesso em: </w:t>
      </w:r>
      <w:proofErr w:type="gramStart"/>
      <w:r w:rsidRPr="00182117">
        <w:rPr>
          <w:sz w:val="20"/>
          <w:szCs w:val="20"/>
        </w:rPr>
        <w:t>14 maio 2016</w:t>
      </w:r>
      <w:proofErr w:type="gramEnd"/>
      <w:r w:rsidRPr="00182117">
        <w:rPr>
          <w:sz w:val="20"/>
          <w:szCs w:val="20"/>
        </w:rPr>
        <w:t>.</w:t>
      </w:r>
    </w:p>
    <w:p w:rsidR="00DA4FFF" w:rsidRPr="00182117" w:rsidRDefault="00DA4FFF" w:rsidP="00182117">
      <w:pPr>
        <w:spacing w:after="120"/>
        <w:rPr>
          <w:sz w:val="20"/>
          <w:szCs w:val="20"/>
        </w:rPr>
      </w:pPr>
      <w:r w:rsidRPr="00182117">
        <w:rPr>
          <w:sz w:val="20"/>
          <w:szCs w:val="20"/>
        </w:rPr>
        <w:t xml:space="preserve">REIS, F.N.S.C. </w:t>
      </w:r>
      <w:r w:rsidRPr="00182117">
        <w:rPr>
          <w:b/>
          <w:sz w:val="20"/>
          <w:szCs w:val="20"/>
        </w:rPr>
        <w:t xml:space="preserve">Programa “Minha Casa, Minha Vida”: Estrutura Lógica, Focalização e Percepção dos Beneficiários. </w:t>
      </w:r>
      <w:r w:rsidRPr="00182117">
        <w:rPr>
          <w:rFonts w:eastAsiaTheme="minorHAnsi"/>
          <w:sz w:val="20"/>
          <w:szCs w:val="20"/>
        </w:rPr>
        <w:t>Dissertação (Mestrado). Viçosa, MG, 2013, 145 p. Disponível em:&lt;http://www.locus.ufv.br/bitstream/handle/123456789/1983/texto%</w:t>
      </w:r>
      <w:proofErr w:type="gramStart"/>
      <w:r w:rsidRPr="00182117">
        <w:rPr>
          <w:rFonts w:eastAsiaTheme="minorHAnsi"/>
          <w:sz w:val="20"/>
          <w:szCs w:val="20"/>
        </w:rPr>
        <w:t>20completo.</w:t>
      </w:r>
      <w:proofErr w:type="gramEnd"/>
      <w:r w:rsidRPr="00182117">
        <w:rPr>
          <w:rFonts w:eastAsiaTheme="minorHAnsi"/>
          <w:sz w:val="20"/>
          <w:szCs w:val="20"/>
        </w:rPr>
        <w:t>pdf?</w:t>
      </w:r>
      <w:proofErr w:type="gramStart"/>
      <w:r w:rsidRPr="00182117">
        <w:rPr>
          <w:rFonts w:eastAsiaTheme="minorHAnsi"/>
          <w:sz w:val="20"/>
          <w:szCs w:val="20"/>
        </w:rPr>
        <w:t>sequence</w:t>
      </w:r>
      <w:proofErr w:type="gramEnd"/>
      <w:r w:rsidRPr="00182117">
        <w:rPr>
          <w:rFonts w:eastAsiaTheme="minorHAnsi"/>
          <w:sz w:val="20"/>
          <w:szCs w:val="20"/>
        </w:rPr>
        <w:t>=1&gt;. Acesso em: 23 out. 2016</w:t>
      </w:r>
    </w:p>
    <w:p w:rsidR="00DA4FFF" w:rsidRPr="00182117" w:rsidRDefault="00DA4FFF" w:rsidP="00182117">
      <w:pPr>
        <w:spacing w:after="120"/>
        <w:rPr>
          <w:sz w:val="20"/>
          <w:szCs w:val="20"/>
        </w:rPr>
      </w:pPr>
      <w:r w:rsidRPr="00182117">
        <w:rPr>
          <w:sz w:val="20"/>
          <w:szCs w:val="20"/>
        </w:rPr>
        <w:t xml:space="preserve">RODRIGUES, L.D.P. </w:t>
      </w:r>
      <w:r w:rsidRPr="00182117">
        <w:rPr>
          <w:b/>
          <w:sz w:val="20"/>
          <w:szCs w:val="20"/>
        </w:rPr>
        <w:t xml:space="preserve">A produção habitacional do programa Minha Casa Minha Vida na região metropolitana de São Paulo. </w:t>
      </w:r>
      <w:r w:rsidRPr="00182117">
        <w:rPr>
          <w:sz w:val="20"/>
          <w:szCs w:val="20"/>
        </w:rPr>
        <w:t xml:space="preserve">2015. Tese (doutorado). </w:t>
      </w:r>
      <w:r w:rsidRPr="00182117">
        <w:rPr>
          <w:b/>
          <w:sz w:val="20"/>
          <w:szCs w:val="20"/>
        </w:rPr>
        <w:t xml:space="preserve"> </w:t>
      </w:r>
      <w:r w:rsidRPr="00182117">
        <w:rPr>
          <w:sz w:val="20"/>
          <w:szCs w:val="20"/>
        </w:rPr>
        <w:t>São Paulo, 2015. Disponível em: &lt;</w:t>
      </w:r>
      <w:hyperlink r:id="rId22" w:history="1">
        <w:r w:rsidRPr="00182117">
          <w:rPr>
            <w:sz w:val="20"/>
            <w:szCs w:val="20"/>
          </w:rPr>
          <w:t>http://www.teses.usp.br/teses/disponiveis/8/8131/tde-29072015-144127/pt-br.php</w:t>
        </w:r>
      </w:hyperlink>
      <w:r w:rsidRPr="00182117">
        <w:rPr>
          <w:sz w:val="20"/>
          <w:szCs w:val="20"/>
        </w:rPr>
        <w:t>&gt;. Acesso em: 17 abr. 2016</w:t>
      </w:r>
    </w:p>
    <w:p w:rsidR="00DA4FFF" w:rsidRPr="00182117" w:rsidRDefault="00DA4FFF" w:rsidP="00182117">
      <w:pPr>
        <w:spacing w:after="120"/>
        <w:rPr>
          <w:sz w:val="20"/>
          <w:szCs w:val="20"/>
        </w:rPr>
      </w:pPr>
      <w:r w:rsidRPr="00182117">
        <w:rPr>
          <w:rFonts w:eastAsiaTheme="minorHAnsi"/>
          <w:sz w:val="20"/>
          <w:szCs w:val="20"/>
        </w:rPr>
        <w:t xml:space="preserve">ROLNIK, R; NAKANO, K.  </w:t>
      </w:r>
      <w:r w:rsidRPr="00182117">
        <w:rPr>
          <w:rStyle w:val="Forte"/>
          <w:b w:val="0"/>
          <w:sz w:val="20"/>
          <w:szCs w:val="20"/>
          <w:shd w:val="clear" w:color="auto" w:fill="FFFFFF"/>
        </w:rPr>
        <w:t xml:space="preserve">As Armadilhas do Pacote Habitacional. </w:t>
      </w:r>
      <w:r w:rsidRPr="00182117">
        <w:rPr>
          <w:rStyle w:val="Forte"/>
          <w:sz w:val="20"/>
          <w:szCs w:val="20"/>
          <w:shd w:val="clear" w:color="auto" w:fill="FFFFFF"/>
        </w:rPr>
        <w:t>Le Monde Diplomatique Brasil</w:t>
      </w:r>
      <w:r w:rsidRPr="00182117">
        <w:rPr>
          <w:rStyle w:val="Forte"/>
          <w:b w:val="0"/>
          <w:sz w:val="20"/>
          <w:szCs w:val="20"/>
          <w:shd w:val="clear" w:color="auto" w:fill="FFFFFF"/>
        </w:rPr>
        <w:t xml:space="preserve">, ano </w:t>
      </w:r>
      <w:proofErr w:type="gramStart"/>
      <w:r w:rsidRPr="00182117">
        <w:rPr>
          <w:rStyle w:val="Forte"/>
          <w:b w:val="0"/>
          <w:sz w:val="20"/>
          <w:szCs w:val="20"/>
          <w:shd w:val="clear" w:color="auto" w:fill="FFFFFF"/>
        </w:rPr>
        <w:t>2</w:t>
      </w:r>
      <w:proofErr w:type="gramEnd"/>
      <w:r w:rsidRPr="00182117">
        <w:rPr>
          <w:rStyle w:val="Forte"/>
          <w:b w:val="0"/>
          <w:sz w:val="20"/>
          <w:szCs w:val="20"/>
          <w:shd w:val="clear" w:color="auto" w:fill="FFFFFF"/>
        </w:rPr>
        <w:t>, n.20, marco-2009.</w:t>
      </w:r>
      <w:r w:rsidRPr="00182117">
        <w:rPr>
          <w:rStyle w:val="Forte"/>
          <w:sz w:val="20"/>
          <w:szCs w:val="20"/>
          <w:shd w:val="clear" w:color="auto" w:fill="FFFFFF"/>
        </w:rPr>
        <w:t xml:space="preserve"> </w:t>
      </w:r>
      <w:r w:rsidRPr="00182117">
        <w:rPr>
          <w:rStyle w:val="Forte"/>
          <w:b w:val="0"/>
          <w:sz w:val="20"/>
          <w:szCs w:val="20"/>
          <w:shd w:val="clear" w:color="auto" w:fill="FFFFFF"/>
        </w:rPr>
        <w:t xml:space="preserve">Disponível em: </w:t>
      </w:r>
      <w:r w:rsidRPr="00182117">
        <w:rPr>
          <w:b/>
          <w:bCs/>
          <w:sz w:val="20"/>
          <w:szCs w:val="20"/>
        </w:rPr>
        <w:t>&lt;</w:t>
      </w:r>
      <w:hyperlink r:id="rId23" w:history="1">
        <w:r w:rsidRPr="00182117">
          <w:rPr>
            <w:sz w:val="20"/>
            <w:szCs w:val="20"/>
          </w:rPr>
          <w:t>http://www.diplomatique.org.br/artigo.php?id=461</w:t>
        </w:r>
      </w:hyperlink>
      <w:r w:rsidRPr="00182117">
        <w:rPr>
          <w:b/>
          <w:bCs/>
          <w:sz w:val="20"/>
          <w:szCs w:val="20"/>
        </w:rPr>
        <w:t>&gt;</w:t>
      </w:r>
      <w:r w:rsidRPr="00182117">
        <w:rPr>
          <w:bCs/>
          <w:sz w:val="20"/>
          <w:szCs w:val="20"/>
        </w:rPr>
        <w:t>. Acesso em: 07 jun. 2016</w:t>
      </w:r>
    </w:p>
    <w:p w:rsidR="00DA4FFF" w:rsidRPr="00182117" w:rsidRDefault="00DA4FFF" w:rsidP="00182117">
      <w:pPr>
        <w:spacing w:after="120"/>
        <w:rPr>
          <w:sz w:val="20"/>
          <w:szCs w:val="20"/>
        </w:rPr>
      </w:pPr>
      <w:r w:rsidRPr="00182117">
        <w:rPr>
          <w:sz w:val="20"/>
          <w:szCs w:val="20"/>
        </w:rPr>
        <w:t xml:space="preserve">ROYER, L.D.O. </w:t>
      </w:r>
      <w:r w:rsidRPr="00182117">
        <w:rPr>
          <w:b/>
          <w:sz w:val="20"/>
          <w:szCs w:val="20"/>
        </w:rPr>
        <w:t>Financeirização da política habitacional: limites e perspectivas</w:t>
      </w:r>
      <w:r w:rsidRPr="00182117">
        <w:rPr>
          <w:sz w:val="20"/>
          <w:szCs w:val="20"/>
        </w:rPr>
        <w:t xml:space="preserve">, 2009. Tese (doutorado). USP / Faculdade de Arquitetura e Urbanismo. São Paulo, 2009. </w:t>
      </w:r>
      <w:r w:rsidRPr="00182117">
        <w:rPr>
          <w:bCs/>
          <w:sz w:val="20"/>
          <w:szCs w:val="20"/>
          <w:shd w:val="clear" w:color="auto" w:fill="FFFFFF"/>
        </w:rPr>
        <w:t>Disponível em: &lt;http://www.fau.usp.br/depprojeto/labhab/biblioteca/textos/royer_doutorado.pdf&gt;. Acesso em: 07 jun. 2016</w:t>
      </w:r>
    </w:p>
    <w:p w:rsidR="00DA4FFF" w:rsidRPr="00182117" w:rsidRDefault="00DA4FFF" w:rsidP="00182117">
      <w:pPr>
        <w:spacing w:after="120"/>
        <w:rPr>
          <w:bCs/>
          <w:sz w:val="20"/>
          <w:szCs w:val="20"/>
          <w:shd w:val="clear" w:color="auto" w:fill="FFFFFF"/>
        </w:rPr>
      </w:pPr>
      <w:r w:rsidRPr="00182117">
        <w:rPr>
          <w:bCs/>
          <w:sz w:val="20"/>
          <w:szCs w:val="20"/>
          <w:shd w:val="clear" w:color="auto" w:fill="FFFFFF"/>
        </w:rPr>
        <w:t xml:space="preserve">RUFINO, L.Z.; </w:t>
      </w:r>
      <w:r w:rsidRPr="00182117">
        <w:rPr>
          <w:sz w:val="20"/>
          <w:szCs w:val="20"/>
        </w:rPr>
        <w:t>KLINTOWITZ, D.C.; MENEGON, N.M; Uemura, M.M.; FERREIRA, A.C.; FRIGNANI, C.; BARRETO, F. A produção do Programa PMCMV na Baixada Santista: habitação de interesse social ou negócio imobiliário? ..</w:t>
      </w:r>
      <w:r w:rsidRPr="00182117">
        <w:rPr>
          <w:bCs/>
          <w:sz w:val="20"/>
          <w:szCs w:val="20"/>
          <w:shd w:val="clear" w:color="auto" w:fill="FFFFFF"/>
        </w:rPr>
        <w:t xml:space="preserve">. </w:t>
      </w:r>
      <w:proofErr w:type="gramStart"/>
      <w:r w:rsidRPr="00182117">
        <w:rPr>
          <w:rFonts w:eastAsiaTheme="minorHAnsi"/>
          <w:sz w:val="20"/>
          <w:szCs w:val="20"/>
        </w:rPr>
        <w:t>in</w:t>
      </w:r>
      <w:proofErr w:type="gramEnd"/>
      <w:r w:rsidRPr="00182117">
        <w:rPr>
          <w:rFonts w:eastAsiaTheme="minorHAnsi"/>
          <w:sz w:val="20"/>
          <w:szCs w:val="20"/>
        </w:rPr>
        <w:t xml:space="preserve">: </w:t>
      </w:r>
      <w:r w:rsidRPr="00182117">
        <w:rPr>
          <w:rFonts w:eastAsiaTheme="minorHAnsi"/>
          <w:b/>
          <w:sz w:val="20"/>
          <w:szCs w:val="20"/>
        </w:rPr>
        <w:t xml:space="preserve">Minha casa... </w:t>
      </w:r>
      <w:proofErr w:type="gramStart"/>
      <w:r w:rsidRPr="00182117">
        <w:rPr>
          <w:rFonts w:eastAsiaTheme="minorHAnsi"/>
          <w:b/>
          <w:sz w:val="20"/>
          <w:szCs w:val="20"/>
        </w:rPr>
        <w:t>e</w:t>
      </w:r>
      <w:proofErr w:type="gramEnd"/>
      <w:r w:rsidRPr="00182117">
        <w:rPr>
          <w:rFonts w:eastAsiaTheme="minorHAnsi"/>
          <w:b/>
          <w:sz w:val="20"/>
          <w:szCs w:val="20"/>
        </w:rPr>
        <w:t xml:space="preserve"> a cidade? </w:t>
      </w:r>
      <w:proofErr w:type="gramStart"/>
      <w:r w:rsidRPr="00182117">
        <w:rPr>
          <w:rFonts w:eastAsiaTheme="minorHAnsi"/>
          <w:b/>
          <w:sz w:val="20"/>
          <w:szCs w:val="20"/>
        </w:rPr>
        <w:t>avaliação</w:t>
      </w:r>
      <w:proofErr w:type="gramEnd"/>
      <w:r w:rsidRPr="00182117">
        <w:rPr>
          <w:rFonts w:eastAsiaTheme="minorHAnsi"/>
          <w:b/>
          <w:sz w:val="20"/>
          <w:szCs w:val="20"/>
        </w:rPr>
        <w:t xml:space="preserve"> do programa minha casa minha vida em seis estados brasileiros (e-book)</w:t>
      </w:r>
      <w:r w:rsidRPr="00182117">
        <w:rPr>
          <w:rFonts w:eastAsiaTheme="minorHAnsi"/>
          <w:sz w:val="20"/>
          <w:szCs w:val="20"/>
        </w:rPr>
        <w:t xml:space="preserve">. </w:t>
      </w:r>
      <w:proofErr w:type="gramStart"/>
      <w:r w:rsidRPr="00182117">
        <w:rPr>
          <w:rFonts w:eastAsiaTheme="minorHAnsi"/>
          <w:sz w:val="20"/>
          <w:szCs w:val="20"/>
        </w:rPr>
        <w:t>org</w:t>
      </w:r>
      <w:proofErr w:type="gramEnd"/>
      <w:r w:rsidRPr="00182117">
        <w:rPr>
          <w:rFonts w:eastAsiaTheme="minorHAnsi"/>
          <w:sz w:val="20"/>
          <w:szCs w:val="20"/>
        </w:rPr>
        <w:t xml:space="preserve"> AMORE, C.S; SHIMBO, L.Z.; RUFINO, M.B.C. 1. </w:t>
      </w:r>
      <w:proofErr w:type="gramStart"/>
      <w:r w:rsidRPr="00182117">
        <w:rPr>
          <w:rFonts w:eastAsiaTheme="minorHAnsi"/>
          <w:sz w:val="20"/>
          <w:szCs w:val="20"/>
        </w:rPr>
        <w:t>ed.</w:t>
      </w:r>
      <w:proofErr w:type="gramEnd"/>
      <w:r w:rsidRPr="00182117">
        <w:rPr>
          <w:rFonts w:eastAsiaTheme="minorHAnsi"/>
          <w:sz w:val="20"/>
          <w:szCs w:val="20"/>
        </w:rPr>
        <w:t xml:space="preserve"> Rio de Janeiro: Letra Capital, 2015. Disponível em: </w:t>
      </w:r>
      <w:r w:rsidRPr="00182117">
        <w:rPr>
          <w:sz w:val="20"/>
          <w:szCs w:val="20"/>
        </w:rPr>
        <w:t>&lt;</w:t>
      </w:r>
      <w:hyperlink r:id="rId24" w:history="1">
        <w:r w:rsidRPr="00182117">
          <w:rPr>
            <w:sz w:val="20"/>
            <w:szCs w:val="20"/>
          </w:rPr>
          <w:t>http://www.observatoriodasmetropoles.net/images/abook_file/mcmv_nacional2015.pdf</w:t>
        </w:r>
      </w:hyperlink>
      <w:r w:rsidRPr="00182117">
        <w:rPr>
          <w:sz w:val="20"/>
          <w:szCs w:val="20"/>
        </w:rPr>
        <w:t xml:space="preserve">&gt; Acesso em: </w:t>
      </w:r>
      <w:proofErr w:type="gramStart"/>
      <w:r w:rsidRPr="00182117">
        <w:rPr>
          <w:sz w:val="20"/>
          <w:szCs w:val="20"/>
        </w:rPr>
        <w:t>18 maio 2016</w:t>
      </w:r>
      <w:proofErr w:type="gramEnd"/>
    </w:p>
    <w:p w:rsidR="00DA4FFF" w:rsidRPr="00182117" w:rsidRDefault="00DA4FFF" w:rsidP="00182117">
      <w:pPr>
        <w:spacing w:after="120"/>
        <w:rPr>
          <w:sz w:val="20"/>
          <w:szCs w:val="20"/>
        </w:rPr>
      </w:pPr>
      <w:r w:rsidRPr="00182117">
        <w:rPr>
          <w:sz w:val="20"/>
          <w:szCs w:val="20"/>
        </w:rPr>
        <w:t xml:space="preserve">SAPORITO, J.T. </w:t>
      </w:r>
      <w:r w:rsidRPr="00182117">
        <w:rPr>
          <w:b/>
          <w:sz w:val="20"/>
          <w:szCs w:val="20"/>
        </w:rPr>
        <w:t xml:space="preserve">Análise Do Programa Minha Casa Minha Vida para Empreendimentos voltados para famílias classificadas na faixa </w:t>
      </w:r>
      <w:proofErr w:type="gramStart"/>
      <w:r w:rsidRPr="00182117">
        <w:rPr>
          <w:b/>
          <w:sz w:val="20"/>
          <w:szCs w:val="20"/>
        </w:rPr>
        <w:t>1</w:t>
      </w:r>
      <w:proofErr w:type="gramEnd"/>
      <w:r w:rsidRPr="00182117">
        <w:rPr>
          <w:b/>
          <w:sz w:val="20"/>
          <w:szCs w:val="20"/>
        </w:rPr>
        <w:t xml:space="preserve"> do programa</w:t>
      </w:r>
      <w:r w:rsidRPr="00182117">
        <w:rPr>
          <w:sz w:val="20"/>
          <w:szCs w:val="20"/>
        </w:rPr>
        <w:t>. São Paulo, 2015. Disponível em: &lt;</w:t>
      </w:r>
      <w:hyperlink r:id="rId25" w:history="1">
        <w:r w:rsidRPr="00182117">
          <w:rPr>
            <w:sz w:val="20"/>
            <w:szCs w:val="20"/>
          </w:rPr>
          <w:t>http://poli-integra.poli.usp.br/library/pdfs/ba59c98e0f940227755317a148cd6f73.pdf</w:t>
        </w:r>
      </w:hyperlink>
      <w:r w:rsidRPr="00182117">
        <w:rPr>
          <w:sz w:val="20"/>
          <w:szCs w:val="20"/>
        </w:rPr>
        <w:t>&gt;. Acesso em: 17 abr. 2016</w:t>
      </w:r>
    </w:p>
    <w:p w:rsidR="00DA4FFF" w:rsidRPr="00182117" w:rsidRDefault="00DA4FFF" w:rsidP="00182117">
      <w:pPr>
        <w:spacing w:after="120"/>
        <w:rPr>
          <w:rFonts w:eastAsiaTheme="minorHAnsi"/>
          <w:sz w:val="20"/>
          <w:szCs w:val="20"/>
        </w:rPr>
      </w:pPr>
      <w:r w:rsidRPr="00182117">
        <w:rPr>
          <w:sz w:val="20"/>
          <w:szCs w:val="20"/>
        </w:rPr>
        <w:t xml:space="preserve">SHIMBO, L.Z. </w:t>
      </w:r>
      <w:r w:rsidRPr="00182117">
        <w:rPr>
          <w:b/>
          <w:sz w:val="20"/>
          <w:szCs w:val="20"/>
        </w:rPr>
        <w:t xml:space="preserve">Habitação Social, Habitação de Mercado: </w:t>
      </w:r>
      <w:r w:rsidRPr="00182117">
        <w:rPr>
          <w:sz w:val="20"/>
          <w:szCs w:val="20"/>
        </w:rPr>
        <w:t>a confluência entre Estado, empresas construtoras e capital financeiro. São Paulo, 2010</w:t>
      </w:r>
      <w:r w:rsidRPr="00182117">
        <w:rPr>
          <w:b/>
          <w:sz w:val="20"/>
          <w:szCs w:val="20"/>
        </w:rPr>
        <w:t xml:space="preserve">. </w:t>
      </w:r>
      <w:r w:rsidRPr="00182117">
        <w:rPr>
          <w:sz w:val="20"/>
          <w:szCs w:val="20"/>
        </w:rPr>
        <w:t>Tese (doutorado). Universidade de São Paulo. 2010. Disponível em: &lt;http://www.iau.usp.br/pesquisa/grupos/habis/biblioteca/digital/teses/Habita%C3%A7%C3%A3o%</w:t>
      </w:r>
      <w:proofErr w:type="gramStart"/>
      <w:r w:rsidRPr="00182117">
        <w:rPr>
          <w:sz w:val="20"/>
          <w:szCs w:val="20"/>
        </w:rPr>
        <w:t>20Social</w:t>
      </w:r>
      <w:proofErr w:type="gramEnd"/>
      <w:r w:rsidRPr="00182117">
        <w:rPr>
          <w:sz w:val="20"/>
          <w:szCs w:val="20"/>
        </w:rPr>
        <w:t xml:space="preserve">_Habita%C3%A7%C3%A3o%20de%20Mercado.pdf&gt;. Acesso em: </w:t>
      </w:r>
      <w:proofErr w:type="gramStart"/>
      <w:r w:rsidRPr="00182117">
        <w:rPr>
          <w:sz w:val="20"/>
          <w:szCs w:val="20"/>
        </w:rPr>
        <w:t>18 maio 2016</w:t>
      </w:r>
      <w:proofErr w:type="gramEnd"/>
    </w:p>
    <w:p w:rsidR="0093752C" w:rsidRPr="00182117" w:rsidRDefault="00DA4FFF" w:rsidP="00182117">
      <w:pPr>
        <w:spacing w:after="120"/>
        <w:rPr>
          <w:sz w:val="20"/>
          <w:szCs w:val="20"/>
        </w:rPr>
      </w:pPr>
      <w:r w:rsidRPr="00182117">
        <w:rPr>
          <w:sz w:val="20"/>
          <w:szCs w:val="20"/>
        </w:rPr>
        <w:t xml:space="preserve">STEVENSON, Willian J. </w:t>
      </w:r>
      <w:r w:rsidRPr="00182117">
        <w:rPr>
          <w:b/>
          <w:bCs/>
          <w:sz w:val="20"/>
          <w:szCs w:val="20"/>
        </w:rPr>
        <w:t xml:space="preserve">Estatística Aplicada à Administração. </w:t>
      </w:r>
      <w:r w:rsidRPr="00182117">
        <w:rPr>
          <w:sz w:val="20"/>
          <w:szCs w:val="20"/>
        </w:rPr>
        <w:t>São Paulo: Harper &amp; Row do Brasil, 1981.</w:t>
      </w:r>
    </w:p>
    <w:sectPr w:rsidR="0093752C" w:rsidRPr="00182117" w:rsidSect="00DA4FFF">
      <w:footerReference w:type="default" r:id="rId26"/>
      <w:pgSz w:w="11906" w:h="16838" w:code="9"/>
      <w:pgMar w:top="1418" w:right="1418" w:bottom="1418" w:left="1418" w:header="51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4D" w:rsidRDefault="00754B4D" w:rsidP="00FB783B">
      <w:r>
        <w:separator/>
      </w:r>
    </w:p>
  </w:endnote>
  <w:endnote w:type="continuationSeparator" w:id="0">
    <w:p w:rsidR="00754B4D" w:rsidRDefault="00754B4D" w:rsidP="00FB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265" w:rsidRPr="00CE676B" w:rsidRDefault="00F47265" w:rsidP="00CE676B">
    <w:pPr>
      <w:pStyle w:val="Rodap"/>
    </w:pPr>
    <w:r>
      <w:rPr>
        <w:noProof/>
        <w:lang w:val="pt-BR"/>
      </w:rPr>
      <mc:AlternateContent>
        <mc:Choice Requires="wps">
          <w:drawing>
            <wp:anchor distT="4294967295" distB="4294967295" distL="114300" distR="114300" simplePos="0" relativeHeight="251659264" behindDoc="0" locked="0" layoutInCell="1" allowOverlap="1" wp14:anchorId="16B3BDB1" wp14:editId="0880FEA7">
              <wp:simplePos x="0" y="0"/>
              <wp:positionH relativeFrom="column">
                <wp:posOffset>52070</wp:posOffset>
              </wp:positionH>
              <wp:positionV relativeFrom="paragraph">
                <wp:posOffset>-133351</wp:posOffset>
              </wp:positionV>
              <wp:extent cx="57531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F192E0" id="_x0000_t32" coordsize="21600,21600" o:spt="32" o:oned="t" path="m,l21600,21600e" filled="f">
              <v:path arrowok="t" fillok="f" o:connecttype="none"/>
              <o:lock v:ext="edit" shapetype="t"/>
            </v:shapetype>
            <v:shape id="AutoShape 3" o:spid="_x0000_s1026" type="#_x0000_t32" style="position:absolute;margin-left:4.1pt;margin-top:-10.5pt;width:4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vr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"/>
          </w:pict>
        </mc:Fallback>
      </mc:AlternateContent>
    </w:r>
    <w:r w:rsidRPr="00CE4B40">
      <w:rPr>
        <w:snapToGrid w:val="0"/>
        <w:color w:val="000000"/>
        <w:w w:val="0"/>
        <w:sz w:val="0"/>
        <w:szCs w:val="0"/>
        <w:u w:color="000000"/>
        <w:bdr w:val="none" w:sz="0" w:space="0" w:color="000000"/>
        <w:shd w:val="clear" w:color="000000" w:fill="000000"/>
        <w:lang w:val="x-none" w:eastAsia="x-none" w:bidi="x-none"/>
      </w:rPr>
      <w:t xml:space="preserve"> </w:t>
    </w:r>
    <w:r>
      <w:rPr>
        <w:noProof/>
        <w:snapToGrid w:val="0"/>
        <w:color w:val="000000"/>
        <w:w w:val="0"/>
        <w:sz w:val="0"/>
        <w:szCs w:val="0"/>
        <w:u w:color="000000"/>
        <w:bdr w:val="none" w:sz="0" w:space="0" w:color="000000"/>
        <w:shd w:val="clear" w:color="000000" w:fill="000000"/>
        <w:lang w:val="pt-BR"/>
      </w:rPr>
      <w:drawing>
        <wp:inline distT="0" distB="0" distL="0" distR="0" wp14:anchorId="57B60DDB" wp14:editId="7E3E6571">
          <wp:extent cx="1381125" cy="563594"/>
          <wp:effectExtent l="0" t="0" r="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318" cy="58285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4D" w:rsidRDefault="00754B4D" w:rsidP="00FB783B">
      <w:r>
        <w:separator/>
      </w:r>
    </w:p>
  </w:footnote>
  <w:footnote w:type="continuationSeparator" w:id="0">
    <w:p w:rsidR="00754B4D" w:rsidRDefault="00754B4D" w:rsidP="00FB7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9B0FE7A"/>
    <w:lvl w:ilvl="0">
      <w:start w:val="1"/>
      <w:numFmt w:val="lowerLetter"/>
      <w:lvlText w:val="%1)"/>
      <w:lvlJc w:val="left"/>
      <w:pPr>
        <w:tabs>
          <w:tab w:val="num" w:pos="360"/>
        </w:tabs>
        <w:ind w:left="360" w:hanging="360"/>
      </w:pPr>
    </w:lvl>
  </w:abstractNum>
  <w:abstractNum w:abstractNumId="1">
    <w:nsid w:val="FFFFFF89"/>
    <w:multiLevelType w:val="singleLevel"/>
    <w:tmpl w:val="B742EC8C"/>
    <w:lvl w:ilvl="0">
      <w:start w:val="1"/>
      <w:numFmt w:val="bullet"/>
      <w:lvlText w:val=""/>
      <w:lvlJc w:val="left"/>
      <w:pPr>
        <w:tabs>
          <w:tab w:val="num" w:pos="360"/>
        </w:tabs>
        <w:ind w:left="360" w:hanging="360"/>
      </w:pPr>
      <w:rPr>
        <w:rFonts w:ascii="Symbol" w:hAnsi="Symbol" w:hint="default"/>
      </w:rPr>
    </w:lvl>
  </w:abstractNum>
  <w:abstractNum w:abstractNumId="2">
    <w:nsid w:val="0E9E070A"/>
    <w:multiLevelType w:val="hybridMultilevel"/>
    <w:tmpl w:val="7006313A"/>
    <w:lvl w:ilvl="0" w:tplc="D4B22D66">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3D327784"/>
    <w:multiLevelType w:val="hybridMultilevel"/>
    <w:tmpl w:val="CA2C8C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EF2127A"/>
    <w:multiLevelType w:val="hybridMultilevel"/>
    <w:tmpl w:val="FA204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34A25D2"/>
    <w:multiLevelType w:val="multilevel"/>
    <w:tmpl w:val="CC6C0428"/>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603280B"/>
    <w:multiLevelType w:val="multilevel"/>
    <w:tmpl w:val="AD9A8572"/>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4CB45698"/>
    <w:multiLevelType w:val="multilevel"/>
    <w:tmpl w:val="A75C093A"/>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D631729"/>
    <w:multiLevelType w:val="hybridMultilevel"/>
    <w:tmpl w:val="19E0EB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2436D56"/>
    <w:multiLevelType w:val="hybridMultilevel"/>
    <w:tmpl w:val="888620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5E818EA"/>
    <w:multiLevelType w:val="hybridMultilevel"/>
    <w:tmpl w:val="238273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39487B"/>
    <w:multiLevelType w:val="hybridMultilevel"/>
    <w:tmpl w:val="A044D1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D2E1407"/>
    <w:multiLevelType w:val="multilevel"/>
    <w:tmpl w:val="EB3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8D3461"/>
    <w:multiLevelType w:val="hybridMultilevel"/>
    <w:tmpl w:val="19D6854E"/>
    <w:lvl w:ilvl="0" w:tplc="09EE424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EB124FD"/>
    <w:multiLevelType w:val="hybridMultilevel"/>
    <w:tmpl w:val="F5F44A76"/>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abstractNumId w:val="2"/>
  </w:num>
  <w:num w:numId="2">
    <w:abstractNumId w:val="0"/>
  </w:num>
  <w:num w:numId="3">
    <w:abstractNumId w:val="0"/>
    <w:lvlOverride w:ilvl="0">
      <w:startOverride w:val="1"/>
    </w:lvlOverride>
  </w:num>
  <w:num w:numId="4">
    <w:abstractNumId w:val="11"/>
  </w:num>
  <w:num w:numId="5">
    <w:abstractNumId w:val="8"/>
  </w:num>
  <w:num w:numId="6">
    <w:abstractNumId w:val="10"/>
  </w:num>
  <w:num w:numId="7">
    <w:abstractNumId w:val="5"/>
  </w:num>
  <w:num w:numId="8">
    <w:abstractNumId w:val="1"/>
  </w:num>
  <w:num w:numId="9">
    <w:abstractNumId w:val="7"/>
  </w:num>
  <w:num w:numId="10">
    <w:abstractNumId w:val="6"/>
  </w:num>
  <w:num w:numId="11">
    <w:abstractNumId w:val="12"/>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3B"/>
    <w:rsid w:val="00004C29"/>
    <w:rsid w:val="00015FFF"/>
    <w:rsid w:val="00017598"/>
    <w:rsid w:val="000413A7"/>
    <w:rsid w:val="00061D90"/>
    <w:rsid w:val="00066E4D"/>
    <w:rsid w:val="000679D6"/>
    <w:rsid w:val="000817E1"/>
    <w:rsid w:val="00092D26"/>
    <w:rsid w:val="00095784"/>
    <w:rsid w:val="000A5D70"/>
    <w:rsid w:val="000C6BD2"/>
    <w:rsid w:val="000F1A7A"/>
    <w:rsid w:val="00107746"/>
    <w:rsid w:val="00135B1F"/>
    <w:rsid w:val="00182117"/>
    <w:rsid w:val="00190E25"/>
    <w:rsid w:val="001B1FD3"/>
    <w:rsid w:val="001C4207"/>
    <w:rsid w:val="001C77DE"/>
    <w:rsid w:val="001D27D8"/>
    <w:rsid w:val="001E5192"/>
    <w:rsid w:val="001E5BED"/>
    <w:rsid w:val="00203B37"/>
    <w:rsid w:val="002514BF"/>
    <w:rsid w:val="00252707"/>
    <w:rsid w:val="002870D3"/>
    <w:rsid w:val="00293771"/>
    <w:rsid w:val="002E0F6C"/>
    <w:rsid w:val="00311D65"/>
    <w:rsid w:val="00315CD7"/>
    <w:rsid w:val="0032118E"/>
    <w:rsid w:val="00325F20"/>
    <w:rsid w:val="00342C4E"/>
    <w:rsid w:val="003534FF"/>
    <w:rsid w:val="0036721B"/>
    <w:rsid w:val="0038308F"/>
    <w:rsid w:val="00387815"/>
    <w:rsid w:val="00387AEE"/>
    <w:rsid w:val="003949A1"/>
    <w:rsid w:val="003B1933"/>
    <w:rsid w:val="003B1A5A"/>
    <w:rsid w:val="003D2A1B"/>
    <w:rsid w:val="003F0D24"/>
    <w:rsid w:val="00416DB4"/>
    <w:rsid w:val="00444BE1"/>
    <w:rsid w:val="00446020"/>
    <w:rsid w:val="0049261B"/>
    <w:rsid w:val="004A00ED"/>
    <w:rsid w:val="004A2012"/>
    <w:rsid w:val="004D0658"/>
    <w:rsid w:val="004E61AE"/>
    <w:rsid w:val="004F0E24"/>
    <w:rsid w:val="00504804"/>
    <w:rsid w:val="00565130"/>
    <w:rsid w:val="00585FB9"/>
    <w:rsid w:val="005B001D"/>
    <w:rsid w:val="005E66B0"/>
    <w:rsid w:val="0066797A"/>
    <w:rsid w:val="006955A4"/>
    <w:rsid w:val="006C6401"/>
    <w:rsid w:val="006D5BE6"/>
    <w:rsid w:val="006E2BD9"/>
    <w:rsid w:val="006E6B05"/>
    <w:rsid w:val="006F4B63"/>
    <w:rsid w:val="007102F6"/>
    <w:rsid w:val="00715607"/>
    <w:rsid w:val="00736063"/>
    <w:rsid w:val="00747CF3"/>
    <w:rsid w:val="00754B4D"/>
    <w:rsid w:val="007720EA"/>
    <w:rsid w:val="00781CBA"/>
    <w:rsid w:val="00784D96"/>
    <w:rsid w:val="0079299F"/>
    <w:rsid w:val="00796239"/>
    <w:rsid w:val="007B40BD"/>
    <w:rsid w:val="007F5BD6"/>
    <w:rsid w:val="008165A6"/>
    <w:rsid w:val="00822955"/>
    <w:rsid w:val="008C54DB"/>
    <w:rsid w:val="008D3500"/>
    <w:rsid w:val="00900DD8"/>
    <w:rsid w:val="009043F7"/>
    <w:rsid w:val="00933E80"/>
    <w:rsid w:val="0093752C"/>
    <w:rsid w:val="00951C24"/>
    <w:rsid w:val="009577DD"/>
    <w:rsid w:val="00957A33"/>
    <w:rsid w:val="009817B1"/>
    <w:rsid w:val="009A1FE3"/>
    <w:rsid w:val="009A506E"/>
    <w:rsid w:val="00A12351"/>
    <w:rsid w:val="00A42664"/>
    <w:rsid w:val="00A53ACA"/>
    <w:rsid w:val="00A95C3E"/>
    <w:rsid w:val="00AA2F93"/>
    <w:rsid w:val="00AB066D"/>
    <w:rsid w:val="00AB4965"/>
    <w:rsid w:val="00AE0C11"/>
    <w:rsid w:val="00AE1330"/>
    <w:rsid w:val="00B114DF"/>
    <w:rsid w:val="00B11504"/>
    <w:rsid w:val="00B12192"/>
    <w:rsid w:val="00B2232A"/>
    <w:rsid w:val="00B31112"/>
    <w:rsid w:val="00B34605"/>
    <w:rsid w:val="00B47B12"/>
    <w:rsid w:val="00B60B8F"/>
    <w:rsid w:val="00B742A0"/>
    <w:rsid w:val="00BA147A"/>
    <w:rsid w:val="00BC406D"/>
    <w:rsid w:val="00BC71BF"/>
    <w:rsid w:val="00BE6D75"/>
    <w:rsid w:val="00BF70E1"/>
    <w:rsid w:val="00C07C74"/>
    <w:rsid w:val="00C151EA"/>
    <w:rsid w:val="00C20A77"/>
    <w:rsid w:val="00C46B48"/>
    <w:rsid w:val="00C90E3D"/>
    <w:rsid w:val="00CA2033"/>
    <w:rsid w:val="00CE4B40"/>
    <w:rsid w:val="00CE676B"/>
    <w:rsid w:val="00D12E88"/>
    <w:rsid w:val="00D441BD"/>
    <w:rsid w:val="00D8322A"/>
    <w:rsid w:val="00D94826"/>
    <w:rsid w:val="00DA4FFF"/>
    <w:rsid w:val="00DA6581"/>
    <w:rsid w:val="00DE64F2"/>
    <w:rsid w:val="00E039E0"/>
    <w:rsid w:val="00E270AB"/>
    <w:rsid w:val="00E408B8"/>
    <w:rsid w:val="00EA7DBB"/>
    <w:rsid w:val="00EC34FC"/>
    <w:rsid w:val="00EC3897"/>
    <w:rsid w:val="00F0175A"/>
    <w:rsid w:val="00F0612A"/>
    <w:rsid w:val="00F361EC"/>
    <w:rsid w:val="00F47265"/>
    <w:rsid w:val="00F6033F"/>
    <w:rsid w:val="00F61205"/>
    <w:rsid w:val="00F63699"/>
    <w:rsid w:val="00F95164"/>
    <w:rsid w:val="00FA442A"/>
    <w:rsid w:val="00FA7E24"/>
    <w:rsid w:val="00FB78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ED"/>
    <w:pPr>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uiPriority w:val="9"/>
    <w:qFormat/>
    <w:rsid w:val="00DA4F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1E5BED"/>
    <w:pPr>
      <w:keepNext/>
      <w:spacing w:after="120"/>
      <w:outlineLvl w:val="1"/>
    </w:pPr>
    <w:rPr>
      <w:b/>
      <w:bCs/>
      <w:szCs w:val="20"/>
      <w:lang w:val="it-IT"/>
    </w:rPr>
  </w:style>
  <w:style w:type="paragraph" w:styleId="Ttulo3">
    <w:name w:val="heading 3"/>
    <w:basedOn w:val="Normal"/>
    <w:link w:val="Ttulo3Char"/>
    <w:uiPriority w:val="9"/>
    <w:qFormat/>
    <w:rsid w:val="00DA4FFF"/>
    <w:pPr>
      <w:spacing w:before="100" w:beforeAutospacing="1" w:after="100" w:afterAutospacing="1"/>
      <w:outlineLvl w:val="2"/>
    </w:pPr>
    <w:rPr>
      <w:b/>
      <w:bCs/>
      <w:sz w:val="27"/>
      <w:szCs w:val="27"/>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4FFF"/>
    <w:rPr>
      <w:rFonts w:asciiTheme="majorHAnsi" w:eastAsiaTheme="majorEastAsia" w:hAnsiTheme="majorHAnsi" w:cstheme="majorBidi"/>
      <w:b/>
      <w:bCs/>
      <w:color w:val="365F91" w:themeColor="accent1" w:themeShade="BF"/>
      <w:sz w:val="28"/>
      <w:szCs w:val="28"/>
      <w:lang w:val="pt-PT" w:eastAsia="pt-BR"/>
    </w:rPr>
  </w:style>
  <w:style w:type="character" w:customStyle="1" w:styleId="Ttulo2Char">
    <w:name w:val="Título 2 Char"/>
    <w:basedOn w:val="Fontepargpadro"/>
    <w:link w:val="Ttulo2"/>
    <w:uiPriority w:val="9"/>
    <w:rsid w:val="001E5BED"/>
    <w:rPr>
      <w:rFonts w:ascii="Times New Roman" w:eastAsia="Times New Roman" w:hAnsi="Times New Roman" w:cs="Times New Roman"/>
      <w:b/>
      <w:bCs/>
      <w:sz w:val="24"/>
      <w:szCs w:val="20"/>
      <w:lang w:val="it-IT" w:eastAsia="pt-BR"/>
    </w:rPr>
  </w:style>
  <w:style w:type="character" w:customStyle="1" w:styleId="Ttulo3Char">
    <w:name w:val="Título 3 Char"/>
    <w:basedOn w:val="Fontepargpadro"/>
    <w:link w:val="Ttulo3"/>
    <w:uiPriority w:val="9"/>
    <w:rsid w:val="00DA4FFF"/>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FB783B"/>
    <w:pPr>
      <w:tabs>
        <w:tab w:val="center" w:pos="4252"/>
        <w:tab w:val="right" w:pos="8504"/>
      </w:tabs>
    </w:pPr>
  </w:style>
  <w:style w:type="character" w:customStyle="1" w:styleId="CabealhoChar">
    <w:name w:val="Cabeçalho Char"/>
    <w:basedOn w:val="Fontepargpadro"/>
    <w:link w:val="Cabealho"/>
    <w:uiPriority w:val="99"/>
    <w:rsid w:val="00FB783B"/>
  </w:style>
  <w:style w:type="paragraph" w:styleId="Rodap">
    <w:name w:val="footer"/>
    <w:basedOn w:val="Normal"/>
    <w:link w:val="RodapChar"/>
    <w:uiPriority w:val="99"/>
    <w:unhideWhenUsed/>
    <w:rsid w:val="00FB783B"/>
    <w:pPr>
      <w:tabs>
        <w:tab w:val="center" w:pos="4252"/>
        <w:tab w:val="right" w:pos="8504"/>
      </w:tabs>
    </w:pPr>
  </w:style>
  <w:style w:type="character" w:customStyle="1" w:styleId="RodapChar">
    <w:name w:val="Rodapé Char"/>
    <w:basedOn w:val="Fontepargpadro"/>
    <w:link w:val="Rodap"/>
    <w:uiPriority w:val="99"/>
    <w:rsid w:val="00FB783B"/>
  </w:style>
  <w:style w:type="paragraph" w:styleId="Textodebalo">
    <w:name w:val="Balloon Text"/>
    <w:basedOn w:val="Normal"/>
    <w:link w:val="TextodebaloChar"/>
    <w:uiPriority w:val="99"/>
    <w:semiHidden/>
    <w:unhideWhenUsed/>
    <w:rsid w:val="00FB783B"/>
    <w:rPr>
      <w:rFonts w:ascii="Tahoma" w:hAnsi="Tahoma" w:cs="Tahoma"/>
      <w:sz w:val="16"/>
      <w:szCs w:val="16"/>
    </w:rPr>
  </w:style>
  <w:style w:type="character" w:customStyle="1" w:styleId="TextodebaloChar">
    <w:name w:val="Texto de balão Char"/>
    <w:basedOn w:val="Fontepargpadro"/>
    <w:link w:val="Textodebalo"/>
    <w:uiPriority w:val="99"/>
    <w:semiHidden/>
    <w:rsid w:val="00FB783B"/>
    <w:rPr>
      <w:rFonts w:ascii="Tahoma" w:hAnsi="Tahoma" w:cs="Tahoma"/>
      <w:sz w:val="16"/>
      <w:szCs w:val="16"/>
    </w:rPr>
  </w:style>
  <w:style w:type="character" w:styleId="Hyperlink">
    <w:name w:val="Hyperlink"/>
    <w:basedOn w:val="Fontepargpadro"/>
    <w:rsid w:val="001E5BED"/>
    <w:rPr>
      <w:color w:val="0000FF"/>
      <w:u w:val="single"/>
    </w:rPr>
  </w:style>
  <w:style w:type="paragraph" w:styleId="Bibliografia">
    <w:name w:val="Bibliography"/>
    <w:basedOn w:val="Normal"/>
    <w:next w:val="Normal"/>
    <w:uiPriority w:val="37"/>
    <w:semiHidden/>
    <w:unhideWhenUsed/>
    <w:rsid w:val="001E5BED"/>
  </w:style>
  <w:style w:type="paragraph" w:styleId="Lista">
    <w:name w:val="List"/>
    <w:basedOn w:val="Commarcadores"/>
    <w:rsid w:val="001E5BED"/>
    <w:pPr>
      <w:widowControl w:val="0"/>
      <w:tabs>
        <w:tab w:val="num" w:pos="284"/>
      </w:tabs>
      <w:spacing w:before="60" w:after="240"/>
      <w:ind w:left="284" w:hanging="284"/>
      <w:jc w:val="both"/>
    </w:pPr>
    <w:rPr>
      <w:bCs/>
      <w:szCs w:val="20"/>
      <w:lang w:val="pt-BR"/>
    </w:rPr>
  </w:style>
  <w:style w:type="paragraph" w:styleId="Commarcadores">
    <w:name w:val="List Bullet"/>
    <w:basedOn w:val="Normal"/>
    <w:uiPriority w:val="99"/>
    <w:unhideWhenUsed/>
    <w:rsid w:val="001E5BED"/>
    <w:pPr>
      <w:tabs>
        <w:tab w:val="num" w:pos="1428"/>
      </w:tabs>
      <w:ind w:left="1428" w:hanging="360"/>
      <w:contextualSpacing/>
    </w:pPr>
  </w:style>
  <w:style w:type="paragraph" w:styleId="Corpodetexto">
    <w:name w:val="Body Text"/>
    <w:basedOn w:val="Normal"/>
    <w:link w:val="CorpodetextoChar"/>
    <w:rsid w:val="001E5BED"/>
    <w:pPr>
      <w:widowControl w:val="0"/>
      <w:spacing w:after="120"/>
      <w:jc w:val="both"/>
    </w:pPr>
    <w:rPr>
      <w:szCs w:val="20"/>
      <w:lang w:val="it-IT"/>
    </w:rPr>
  </w:style>
  <w:style w:type="character" w:customStyle="1" w:styleId="CorpodetextoChar">
    <w:name w:val="Corpo de texto Char"/>
    <w:basedOn w:val="Fontepargpadro"/>
    <w:link w:val="Corpodetexto"/>
    <w:rsid w:val="001E5BED"/>
    <w:rPr>
      <w:rFonts w:ascii="Times New Roman" w:eastAsia="Times New Roman" w:hAnsi="Times New Roman" w:cs="Times New Roman"/>
      <w:sz w:val="24"/>
      <w:szCs w:val="20"/>
      <w:lang w:val="it-IT" w:eastAsia="pt-BR"/>
    </w:rPr>
  </w:style>
  <w:style w:type="paragraph" w:styleId="Legenda">
    <w:name w:val="caption"/>
    <w:basedOn w:val="Normal"/>
    <w:next w:val="Normal"/>
    <w:uiPriority w:val="35"/>
    <w:qFormat/>
    <w:rsid w:val="001E5BED"/>
    <w:pPr>
      <w:spacing w:before="120" w:after="240"/>
      <w:contextualSpacing/>
      <w:jc w:val="center"/>
    </w:pPr>
    <w:rPr>
      <w:sz w:val="20"/>
      <w:szCs w:val="20"/>
      <w:lang w:val="it-IT"/>
    </w:rPr>
  </w:style>
  <w:style w:type="paragraph" w:customStyle="1" w:styleId="Figura">
    <w:name w:val="Figura"/>
    <w:basedOn w:val="Corpodetexto"/>
    <w:next w:val="Legenda"/>
    <w:rsid w:val="001E5BED"/>
    <w:pPr>
      <w:spacing w:before="240" w:after="0"/>
      <w:jc w:val="center"/>
    </w:pPr>
  </w:style>
  <w:style w:type="paragraph" w:customStyle="1" w:styleId="Alnea">
    <w:name w:val="Alínea"/>
    <w:basedOn w:val="Numerada"/>
    <w:rsid w:val="001E5BED"/>
    <w:pPr>
      <w:spacing w:before="60" w:after="240"/>
      <w:ind w:left="357" w:hanging="357"/>
      <w:jc w:val="both"/>
    </w:pPr>
  </w:style>
  <w:style w:type="paragraph" w:styleId="Numerada">
    <w:name w:val="List Number"/>
    <w:basedOn w:val="Normal"/>
    <w:uiPriority w:val="99"/>
    <w:semiHidden/>
    <w:unhideWhenUsed/>
    <w:rsid w:val="001E5BED"/>
    <w:pPr>
      <w:tabs>
        <w:tab w:val="num" w:pos="360"/>
      </w:tabs>
      <w:ind w:left="360" w:hanging="360"/>
      <w:contextualSpacing/>
    </w:pPr>
  </w:style>
  <w:style w:type="paragraph" w:customStyle="1" w:styleId="TabelaCabealho">
    <w:name w:val="Tabela Cabeçalho"/>
    <w:basedOn w:val="Corpodetexto"/>
    <w:rsid w:val="001E5BED"/>
    <w:pPr>
      <w:spacing w:after="0"/>
      <w:jc w:val="center"/>
    </w:pPr>
    <w:rPr>
      <w:b/>
      <w:sz w:val="20"/>
    </w:rPr>
  </w:style>
  <w:style w:type="paragraph" w:customStyle="1" w:styleId="TabelaCorpo">
    <w:name w:val="Tabela Corpo"/>
    <w:basedOn w:val="TabelaCabealho"/>
    <w:rsid w:val="001E5BED"/>
    <w:pPr>
      <w:ind w:left="317" w:hanging="317"/>
      <w:jc w:val="both"/>
    </w:pPr>
    <w:rPr>
      <w:b w:val="0"/>
    </w:rPr>
  </w:style>
  <w:style w:type="paragraph" w:customStyle="1" w:styleId="TabelaEspaamento">
    <w:name w:val="Tabela Espaçamento"/>
    <w:basedOn w:val="TabelaCabealho"/>
    <w:rsid w:val="001E5BED"/>
    <w:rPr>
      <w:sz w:val="12"/>
      <w:szCs w:val="12"/>
    </w:rPr>
  </w:style>
  <w:style w:type="paragraph" w:styleId="NormalWeb">
    <w:name w:val="Normal (Web)"/>
    <w:basedOn w:val="Normal"/>
    <w:uiPriority w:val="99"/>
    <w:semiHidden/>
    <w:unhideWhenUsed/>
    <w:rsid w:val="00DE64F2"/>
    <w:pPr>
      <w:spacing w:before="100" w:beforeAutospacing="1" w:after="100" w:afterAutospacing="1"/>
    </w:pPr>
    <w:rPr>
      <w:lang w:val="pt-BR"/>
    </w:rPr>
  </w:style>
  <w:style w:type="character" w:styleId="nfase">
    <w:name w:val="Emphasis"/>
    <w:basedOn w:val="Fontepargpadro"/>
    <w:uiPriority w:val="20"/>
    <w:qFormat/>
    <w:rsid w:val="00DE64F2"/>
    <w:rPr>
      <w:i/>
      <w:iCs/>
    </w:rPr>
  </w:style>
  <w:style w:type="character" w:styleId="Forte">
    <w:name w:val="Strong"/>
    <w:basedOn w:val="Fontepargpadro"/>
    <w:uiPriority w:val="22"/>
    <w:qFormat/>
    <w:rsid w:val="00135B1F"/>
    <w:rPr>
      <w:b/>
      <w:bCs/>
    </w:rPr>
  </w:style>
  <w:style w:type="character" w:customStyle="1" w:styleId="apple-converted-space">
    <w:name w:val="apple-converted-space"/>
    <w:basedOn w:val="Fontepargpadro"/>
    <w:rsid w:val="00DA4FFF"/>
  </w:style>
  <w:style w:type="paragraph" w:customStyle="1" w:styleId="Default">
    <w:name w:val="Default"/>
    <w:rsid w:val="00DA4FF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99"/>
    <w:qFormat/>
    <w:rsid w:val="00DA4FFF"/>
    <w:pPr>
      <w:ind w:left="720"/>
      <w:contextualSpacing/>
    </w:pPr>
    <w:rPr>
      <w:lang w:val="pt-BR"/>
    </w:rPr>
  </w:style>
  <w:style w:type="paragraph" w:customStyle="1" w:styleId="Pa2">
    <w:name w:val="Pa2"/>
    <w:basedOn w:val="Default"/>
    <w:next w:val="Default"/>
    <w:uiPriority w:val="99"/>
    <w:rsid w:val="00DA4FFF"/>
    <w:pPr>
      <w:spacing w:line="241" w:lineRule="atLeast"/>
    </w:pPr>
    <w:rPr>
      <w:rFonts w:ascii="Futura Std Book" w:hAnsi="Futura Std Book" w:cstheme="minorBidi"/>
      <w:color w:val="auto"/>
    </w:rPr>
  </w:style>
  <w:style w:type="table" w:styleId="Tabelacomgrade">
    <w:name w:val="Table Grid"/>
    <w:basedOn w:val="Tabelanormal"/>
    <w:uiPriority w:val="59"/>
    <w:rsid w:val="00DA4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iPriority w:val="99"/>
    <w:unhideWhenUsed/>
    <w:rsid w:val="00DA4FFF"/>
    <w:pPr>
      <w:jc w:val="both"/>
    </w:pPr>
    <w:rPr>
      <w:sz w:val="20"/>
      <w:lang w:val="pt-BR"/>
    </w:rPr>
  </w:style>
  <w:style w:type="character" w:customStyle="1" w:styleId="TextodecomentrioChar">
    <w:name w:val="Texto de comentário Char"/>
    <w:basedOn w:val="Fontepargpadro"/>
    <w:link w:val="Textodecomentrio"/>
    <w:uiPriority w:val="99"/>
    <w:rsid w:val="00DA4FFF"/>
    <w:rPr>
      <w:rFonts w:ascii="Times New Roman" w:eastAsia="Times New Roman" w:hAnsi="Times New Roman" w:cs="Times New Roman"/>
      <w:sz w:val="20"/>
      <w:szCs w:val="24"/>
      <w:lang w:eastAsia="pt-BR"/>
    </w:rPr>
  </w:style>
  <w:style w:type="character" w:customStyle="1" w:styleId="A6">
    <w:name w:val="A6"/>
    <w:uiPriority w:val="99"/>
    <w:rsid w:val="00DA4FFF"/>
    <w:rPr>
      <w:color w:val="000000"/>
      <w:sz w:val="20"/>
      <w:szCs w:val="20"/>
    </w:rPr>
  </w:style>
  <w:style w:type="character" w:customStyle="1" w:styleId="label">
    <w:name w:val="label"/>
    <w:basedOn w:val="Fontepargpadro"/>
    <w:rsid w:val="00DA4FFF"/>
  </w:style>
  <w:style w:type="paragraph" w:styleId="Corpodetexto2">
    <w:name w:val="Body Text 2"/>
    <w:basedOn w:val="Normal"/>
    <w:link w:val="Corpodetexto2Char"/>
    <w:uiPriority w:val="99"/>
    <w:rsid w:val="00DA4FFF"/>
    <w:pPr>
      <w:spacing w:after="120" w:line="480" w:lineRule="auto"/>
    </w:pPr>
    <w:rPr>
      <w:rFonts w:ascii="Calibri" w:hAnsi="Calibri" w:cs="Calibri"/>
      <w:sz w:val="20"/>
      <w:lang w:val="pt-BR"/>
    </w:rPr>
  </w:style>
  <w:style w:type="character" w:customStyle="1" w:styleId="Corpodetexto2Char">
    <w:name w:val="Corpo de texto 2 Char"/>
    <w:basedOn w:val="Fontepargpadro"/>
    <w:link w:val="Corpodetexto2"/>
    <w:uiPriority w:val="99"/>
    <w:rsid w:val="00DA4FFF"/>
    <w:rPr>
      <w:rFonts w:ascii="Calibri" w:eastAsia="Times New Roman" w:hAnsi="Calibri" w:cs="Calibri"/>
      <w:sz w:val="20"/>
      <w:szCs w:val="24"/>
      <w:lang w:eastAsia="pt-BR"/>
    </w:rPr>
  </w:style>
  <w:style w:type="character" w:customStyle="1" w:styleId="a">
    <w:name w:val="a"/>
    <w:basedOn w:val="Fontepargpadro"/>
    <w:rsid w:val="00DA4FFF"/>
  </w:style>
  <w:style w:type="paragraph" w:styleId="CabealhodoSumrio">
    <w:name w:val="TOC Heading"/>
    <w:basedOn w:val="Ttulo1"/>
    <w:next w:val="Normal"/>
    <w:uiPriority w:val="39"/>
    <w:unhideWhenUsed/>
    <w:qFormat/>
    <w:rsid w:val="00DA4FFF"/>
    <w:pPr>
      <w:outlineLvl w:val="9"/>
    </w:pPr>
    <w:rPr>
      <w:lang w:val="pt-BR"/>
    </w:rPr>
  </w:style>
  <w:style w:type="paragraph" w:styleId="Sumrio1">
    <w:name w:val="toc 1"/>
    <w:basedOn w:val="Normal"/>
    <w:next w:val="Normal"/>
    <w:autoRedefine/>
    <w:uiPriority w:val="39"/>
    <w:unhideWhenUsed/>
    <w:rsid w:val="00DA4FFF"/>
    <w:pPr>
      <w:tabs>
        <w:tab w:val="left" w:pos="480"/>
        <w:tab w:val="right" w:leader="dot" w:pos="9061"/>
      </w:tabs>
      <w:spacing w:after="100" w:line="360" w:lineRule="auto"/>
    </w:pPr>
    <w:rPr>
      <w:lang w:val="pt-BR"/>
    </w:rPr>
  </w:style>
  <w:style w:type="paragraph" w:styleId="Sumrio2">
    <w:name w:val="toc 2"/>
    <w:basedOn w:val="Normal"/>
    <w:next w:val="Normal"/>
    <w:autoRedefine/>
    <w:uiPriority w:val="39"/>
    <w:unhideWhenUsed/>
    <w:rsid w:val="00DA4FFF"/>
    <w:pPr>
      <w:tabs>
        <w:tab w:val="right" w:leader="dot" w:pos="9061"/>
      </w:tabs>
      <w:spacing w:after="100" w:line="360" w:lineRule="auto"/>
      <w:ind w:left="240"/>
    </w:pPr>
    <w:rPr>
      <w:lang w:val="pt-BR"/>
    </w:rPr>
  </w:style>
  <w:style w:type="paragraph" w:styleId="Sumrio3">
    <w:name w:val="toc 3"/>
    <w:basedOn w:val="Normal"/>
    <w:next w:val="Normal"/>
    <w:autoRedefine/>
    <w:uiPriority w:val="39"/>
    <w:unhideWhenUsed/>
    <w:rsid w:val="00DA4FFF"/>
    <w:pPr>
      <w:spacing w:after="100"/>
      <w:ind w:left="480"/>
    </w:pPr>
    <w:rPr>
      <w:lang w:val="pt-BR"/>
    </w:rPr>
  </w:style>
  <w:style w:type="character" w:styleId="TtulodoLivro">
    <w:name w:val="Book Title"/>
    <w:uiPriority w:val="33"/>
    <w:qFormat/>
    <w:rsid w:val="00DA4FFF"/>
    <w:rPr>
      <w:b/>
      <w:bCs/>
      <w:smallCaps/>
      <w:spacing w:val="5"/>
    </w:rPr>
  </w:style>
  <w:style w:type="character" w:customStyle="1" w:styleId="AssuntodocomentrioChar">
    <w:name w:val="Assunto do comentário Char"/>
    <w:basedOn w:val="TextodecomentrioChar"/>
    <w:link w:val="Assuntodocomentrio"/>
    <w:uiPriority w:val="99"/>
    <w:semiHidden/>
    <w:rsid w:val="00DA4FFF"/>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A4FFF"/>
    <w:pPr>
      <w:jc w:val="left"/>
    </w:pPr>
    <w:rPr>
      <w:b/>
      <w:bCs/>
      <w:szCs w:val="20"/>
    </w:rPr>
  </w:style>
  <w:style w:type="paragraph" w:styleId="TextosemFormatao">
    <w:name w:val="Plain Text"/>
    <w:basedOn w:val="Normal"/>
    <w:link w:val="TextosemFormataoChar"/>
    <w:unhideWhenUsed/>
    <w:rsid w:val="00DA4FFF"/>
    <w:rPr>
      <w:rFonts w:ascii="Courier New" w:hAnsi="Courier New" w:cs="Courier New"/>
      <w:sz w:val="20"/>
      <w:szCs w:val="20"/>
      <w:lang w:val="pt-BR"/>
    </w:rPr>
  </w:style>
  <w:style w:type="character" w:customStyle="1" w:styleId="TextosemFormataoChar">
    <w:name w:val="Texto sem Formatação Char"/>
    <w:basedOn w:val="Fontepargpadro"/>
    <w:link w:val="TextosemFormatao"/>
    <w:rsid w:val="00DA4FFF"/>
    <w:rPr>
      <w:rFonts w:ascii="Courier New" w:eastAsia="Times New Roman" w:hAnsi="Courier New" w:cs="Courier New"/>
      <w:sz w:val="20"/>
      <w:szCs w:val="20"/>
      <w:lang w:eastAsia="pt-BR"/>
    </w:rPr>
  </w:style>
  <w:style w:type="paragraph" w:customStyle="1" w:styleId="xmsonormal">
    <w:name w:val="x_msonormal"/>
    <w:basedOn w:val="Normal"/>
    <w:rsid w:val="00DA4FFF"/>
    <w:pPr>
      <w:spacing w:before="100" w:beforeAutospacing="1" w:after="100" w:afterAutospacing="1"/>
    </w:pPr>
    <w:rPr>
      <w:lang w:val="pt-BR"/>
    </w:rPr>
  </w:style>
  <w:style w:type="paragraph" w:customStyle="1" w:styleId="rt-article-cat">
    <w:name w:val="rt-article-cat"/>
    <w:basedOn w:val="Normal"/>
    <w:rsid w:val="00DA4FFF"/>
    <w:pPr>
      <w:spacing w:before="100" w:beforeAutospacing="1" w:after="100" w:afterAutospacing="1"/>
    </w:pPr>
    <w:rPr>
      <w:lang w:val="pt-BR"/>
    </w:rPr>
  </w:style>
  <w:style w:type="character" w:customStyle="1" w:styleId="rt-category">
    <w:name w:val="rt-category"/>
    <w:basedOn w:val="Fontepargpadro"/>
    <w:rsid w:val="00DA4FFF"/>
  </w:style>
  <w:style w:type="character" w:customStyle="1" w:styleId="A4">
    <w:name w:val="A4"/>
    <w:uiPriority w:val="99"/>
    <w:rsid w:val="00DA4FFF"/>
    <w:rPr>
      <w:rFonts w:cs="Helvetica LT Std"/>
      <w:color w:val="000000"/>
      <w:sz w:val="20"/>
      <w:szCs w:val="20"/>
    </w:rPr>
  </w:style>
  <w:style w:type="character" w:customStyle="1" w:styleId="Pr-formataoHTMLChar">
    <w:name w:val="Pré-formatação HTML Char"/>
    <w:basedOn w:val="Fontepargpadro"/>
    <w:link w:val="Pr-formataoHTML"/>
    <w:uiPriority w:val="99"/>
    <w:semiHidden/>
    <w:rsid w:val="00DA4FFF"/>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DA4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paragraph" w:styleId="ndicedeilustraes">
    <w:name w:val="table of figures"/>
    <w:basedOn w:val="Normal"/>
    <w:next w:val="Normal"/>
    <w:uiPriority w:val="99"/>
    <w:unhideWhenUsed/>
    <w:rsid w:val="00DA4FFF"/>
    <w:pPr>
      <w:ind w:left="480" w:hanging="480"/>
    </w:pPr>
    <w:rPr>
      <w:rFonts w:asciiTheme="minorHAnsi" w:hAnsiTheme="minorHAnsi" w:cstheme="minorHAnsi"/>
      <w:caps/>
      <w:sz w:val="20"/>
      <w:szCs w:val="20"/>
      <w:lang w:val="pt-BR"/>
    </w:rPr>
  </w:style>
  <w:style w:type="character" w:customStyle="1" w:styleId="TextodenotadefimChar">
    <w:name w:val="Texto de nota de fim Char"/>
    <w:basedOn w:val="Fontepargpadro"/>
    <w:link w:val="Textodenotadefim"/>
    <w:uiPriority w:val="99"/>
    <w:semiHidden/>
    <w:rsid w:val="00DA4FFF"/>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DA4FFF"/>
    <w:rPr>
      <w:sz w:val="20"/>
      <w:szCs w:val="20"/>
      <w:lang w:val="pt-BR"/>
    </w:rPr>
  </w:style>
  <w:style w:type="character" w:customStyle="1" w:styleId="TextodenotaderodapChar">
    <w:name w:val="Texto de nota de rodapé Char"/>
    <w:basedOn w:val="Fontepargpadro"/>
    <w:link w:val="Textodenotaderodap"/>
    <w:uiPriority w:val="99"/>
    <w:semiHidden/>
    <w:rsid w:val="00DA4FFF"/>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DA4FFF"/>
    <w:rPr>
      <w:sz w:val="20"/>
      <w:szCs w:val="20"/>
      <w:lang w:val="pt-BR"/>
    </w:rPr>
  </w:style>
  <w:style w:type="character" w:customStyle="1" w:styleId="ms-font-s">
    <w:name w:val="ms-font-s"/>
    <w:basedOn w:val="Fontepargpadro"/>
    <w:rsid w:val="00182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ED"/>
    <w:pPr>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uiPriority w:val="9"/>
    <w:qFormat/>
    <w:rsid w:val="00DA4F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1E5BED"/>
    <w:pPr>
      <w:keepNext/>
      <w:spacing w:after="120"/>
      <w:outlineLvl w:val="1"/>
    </w:pPr>
    <w:rPr>
      <w:b/>
      <w:bCs/>
      <w:szCs w:val="20"/>
      <w:lang w:val="it-IT"/>
    </w:rPr>
  </w:style>
  <w:style w:type="paragraph" w:styleId="Ttulo3">
    <w:name w:val="heading 3"/>
    <w:basedOn w:val="Normal"/>
    <w:link w:val="Ttulo3Char"/>
    <w:uiPriority w:val="9"/>
    <w:qFormat/>
    <w:rsid w:val="00DA4FFF"/>
    <w:pPr>
      <w:spacing w:before="100" w:beforeAutospacing="1" w:after="100" w:afterAutospacing="1"/>
      <w:outlineLvl w:val="2"/>
    </w:pPr>
    <w:rPr>
      <w:b/>
      <w:bCs/>
      <w:sz w:val="27"/>
      <w:szCs w:val="27"/>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4FFF"/>
    <w:rPr>
      <w:rFonts w:asciiTheme="majorHAnsi" w:eastAsiaTheme="majorEastAsia" w:hAnsiTheme="majorHAnsi" w:cstheme="majorBidi"/>
      <w:b/>
      <w:bCs/>
      <w:color w:val="365F91" w:themeColor="accent1" w:themeShade="BF"/>
      <w:sz w:val="28"/>
      <w:szCs w:val="28"/>
      <w:lang w:val="pt-PT" w:eastAsia="pt-BR"/>
    </w:rPr>
  </w:style>
  <w:style w:type="character" w:customStyle="1" w:styleId="Ttulo2Char">
    <w:name w:val="Título 2 Char"/>
    <w:basedOn w:val="Fontepargpadro"/>
    <w:link w:val="Ttulo2"/>
    <w:uiPriority w:val="9"/>
    <w:rsid w:val="001E5BED"/>
    <w:rPr>
      <w:rFonts w:ascii="Times New Roman" w:eastAsia="Times New Roman" w:hAnsi="Times New Roman" w:cs="Times New Roman"/>
      <w:b/>
      <w:bCs/>
      <w:sz w:val="24"/>
      <w:szCs w:val="20"/>
      <w:lang w:val="it-IT" w:eastAsia="pt-BR"/>
    </w:rPr>
  </w:style>
  <w:style w:type="character" w:customStyle="1" w:styleId="Ttulo3Char">
    <w:name w:val="Título 3 Char"/>
    <w:basedOn w:val="Fontepargpadro"/>
    <w:link w:val="Ttulo3"/>
    <w:uiPriority w:val="9"/>
    <w:rsid w:val="00DA4FFF"/>
    <w:rPr>
      <w:rFonts w:ascii="Times New Roman" w:eastAsia="Times New Roman" w:hAnsi="Times New Roman" w:cs="Times New Roman"/>
      <w:b/>
      <w:bCs/>
      <w:sz w:val="27"/>
      <w:szCs w:val="27"/>
      <w:lang w:eastAsia="pt-BR"/>
    </w:rPr>
  </w:style>
  <w:style w:type="paragraph" w:styleId="Cabealho">
    <w:name w:val="header"/>
    <w:basedOn w:val="Normal"/>
    <w:link w:val="CabealhoChar"/>
    <w:uiPriority w:val="99"/>
    <w:unhideWhenUsed/>
    <w:rsid w:val="00FB783B"/>
    <w:pPr>
      <w:tabs>
        <w:tab w:val="center" w:pos="4252"/>
        <w:tab w:val="right" w:pos="8504"/>
      </w:tabs>
    </w:pPr>
  </w:style>
  <w:style w:type="character" w:customStyle="1" w:styleId="CabealhoChar">
    <w:name w:val="Cabeçalho Char"/>
    <w:basedOn w:val="Fontepargpadro"/>
    <w:link w:val="Cabealho"/>
    <w:uiPriority w:val="99"/>
    <w:rsid w:val="00FB783B"/>
  </w:style>
  <w:style w:type="paragraph" w:styleId="Rodap">
    <w:name w:val="footer"/>
    <w:basedOn w:val="Normal"/>
    <w:link w:val="RodapChar"/>
    <w:uiPriority w:val="99"/>
    <w:unhideWhenUsed/>
    <w:rsid w:val="00FB783B"/>
    <w:pPr>
      <w:tabs>
        <w:tab w:val="center" w:pos="4252"/>
        <w:tab w:val="right" w:pos="8504"/>
      </w:tabs>
    </w:pPr>
  </w:style>
  <w:style w:type="character" w:customStyle="1" w:styleId="RodapChar">
    <w:name w:val="Rodapé Char"/>
    <w:basedOn w:val="Fontepargpadro"/>
    <w:link w:val="Rodap"/>
    <w:uiPriority w:val="99"/>
    <w:rsid w:val="00FB783B"/>
  </w:style>
  <w:style w:type="paragraph" w:styleId="Textodebalo">
    <w:name w:val="Balloon Text"/>
    <w:basedOn w:val="Normal"/>
    <w:link w:val="TextodebaloChar"/>
    <w:uiPriority w:val="99"/>
    <w:semiHidden/>
    <w:unhideWhenUsed/>
    <w:rsid w:val="00FB783B"/>
    <w:rPr>
      <w:rFonts w:ascii="Tahoma" w:hAnsi="Tahoma" w:cs="Tahoma"/>
      <w:sz w:val="16"/>
      <w:szCs w:val="16"/>
    </w:rPr>
  </w:style>
  <w:style w:type="character" w:customStyle="1" w:styleId="TextodebaloChar">
    <w:name w:val="Texto de balão Char"/>
    <w:basedOn w:val="Fontepargpadro"/>
    <w:link w:val="Textodebalo"/>
    <w:uiPriority w:val="99"/>
    <w:semiHidden/>
    <w:rsid w:val="00FB783B"/>
    <w:rPr>
      <w:rFonts w:ascii="Tahoma" w:hAnsi="Tahoma" w:cs="Tahoma"/>
      <w:sz w:val="16"/>
      <w:szCs w:val="16"/>
    </w:rPr>
  </w:style>
  <w:style w:type="character" w:styleId="Hyperlink">
    <w:name w:val="Hyperlink"/>
    <w:basedOn w:val="Fontepargpadro"/>
    <w:rsid w:val="001E5BED"/>
    <w:rPr>
      <w:color w:val="0000FF"/>
      <w:u w:val="single"/>
    </w:rPr>
  </w:style>
  <w:style w:type="paragraph" w:styleId="Bibliografia">
    <w:name w:val="Bibliography"/>
    <w:basedOn w:val="Normal"/>
    <w:next w:val="Normal"/>
    <w:uiPriority w:val="37"/>
    <w:semiHidden/>
    <w:unhideWhenUsed/>
    <w:rsid w:val="001E5BED"/>
  </w:style>
  <w:style w:type="paragraph" w:styleId="Lista">
    <w:name w:val="List"/>
    <w:basedOn w:val="Commarcadores"/>
    <w:rsid w:val="001E5BED"/>
    <w:pPr>
      <w:widowControl w:val="0"/>
      <w:tabs>
        <w:tab w:val="num" w:pos="284"/>
      </w:tabs>
      <w:spacing w:before="60" w:after="240"/>
      <w:ind w:left="284" w:hanging="284"/>
      <w:jc w:val="both"/>
    </w:pPr>
    <w:rPr>
      <w:bCs/>
      <w:szCs w:val="20"/>
      <w:lang w:val="pt-BR"/>
    </w:rPr>
  </w:style>
  <w:style w:type="paragraph" w:styleId="Commarcadores">
    <w:name w:val="List Bullet"/>
    <w:basedOn w:val="Normal"/>
    <w:uiPriority w:val="99"/>
    <w:unhideWhenUsed/>
    <w:rsid w:val="001E5BED"/>
    <w:pPr>
      <w:tabs>
        <w:tab w:val="num" w:pos="1428"/>
      </w:tabs>
      <w:ind w:left="1428" w:hanging="360"/>
      <w:contextualSpacing/>
    </w:pPr>
  </w:style>
  <w:style w:type="paragraph" w:styleId="Corpodetexto">
    <w:name w:val="Body Text"/>
    <w:basedOn w:val="Normal"/>
    <w:link w:val="CorpodetextoChar"/>
    <w:rsid w:val="001E5BED"/>
    <w:pPr>
      <w:widowControl w:val="0"/>
      <w:spacing w:after="120"/>
      <w:jc w:val="both"/>
    </w:pPr>
    <w:rPr>
      <w:szCs w:val="20"/>
      <w:lang w:val="it-IT"/>
    </w:rPr>
  </w:style>
  <w:style w:type="character" w:customStyle="1" w:styleId="CorpodetextoChar">
    <w:name w:val="Corpo de texto Char"/>
    <w:basedOn w:val="Fontepargpadro"/>
    <w:link w:val="Corpodetexto"/>
    <w:rsid w:val="001E5BED"/>
    <w:rPr>
      <w:rFonts w:ascii="Times New Roman" w:eastAsia="Times New Roman" w:hAnsi="Times New Roman" w:cs="Times New Roman"/>
      <w:sz w:val="24"/>
      <w:szCs w:val="20"/>
      <w:lang w:val="it-IT" w:eastAsia="pt-BR"/>
    </w:rPr>
  </w:style>
  <w:style w:type="paragraph" w:styleId="Legenda">
    <w:name w:val="caption"/>
    <w:basedOn w:val="Normal"/>
    <w:next w:val="Normal"/>
    <w:uiPriority w:val="35"/>
    <w:qFormat/>
    <w:rsid w:val="001E5BED"/>
    <w:pPr>
      <w:spacing w:before="120" w:after="240"/>
      <w:contextualSpacing/>
      <w:jc w:val="center"/>
    </w:pPr>
    <w:rPr>
      <w:sz w:val="20"/>
      <w:szCs w:val="20"/>
      <w:lang w:val="it-IT"/>
    </w:rPr>
  </w:style>
  <w:style w:type="paragraph" w:customStyle="1" w:styleId="Figura">
    <w:name w:val="Figura"/>
    <w:basedOn w:val="Corpodetexto"/>
    <w:next w:val="Legenda"/>
    <w:rsid w:val="001E5BED"/>
    <w:pPr>
      <w:spacing w:before="240" w:after="0"/>
      <w:jc w:val="center"/>
    </w:pPr>
  </w:style>
  <w:style w:type="paragraph" w:customStyle="1" w:styleId="Alnea">
    <w:name w:val="Alínea"/>
    <w:basedOn w:val="Numerada"/>
    <w:rsid w:val="001E5BED"/>
    <w:pPr>
      <w:spacing w:before="60" w:after="240"/>
      <w:ind w:left="357" w:hanging="357"/>
      <w:jc w:val="both"/>
    </w:pPr>
  </w:style>
  <w:style w:type="paragraph" w:styleId="Numerada">
    <w:name w:val="List Number"/>
    <w:basedOn w:val="Normal"/>
    <w:uiPriority w:val="99"/>
    <w:semiHidden/>
    <w:unhideWhenUsed/>
    <w:rsid w:val="001E5BED"/>
    <w:pPr>
      <w:tabs>
        <w:tab w:val="num" w:pos="360"/>
      </w:tabs>
      <w:ind w:left="360" w:hanging="360"/>
      <w:contextualSpacing/>
    </w:pPr>
  </w:style>
  <w:style w:type="paragraph" w:customStyle="1" w:styleId="TabelaCabealho">
    <w:name w:val="Tabela Cabeçalho"/>
    <w:basedOn w:val="Corpodetexto"/>
    <w:rsid w:val="001E5BED"/>
    <w:pPr>
      <w:spacing w:after="0"/>
      <w:jc w:val="center"/>
    </w:pPr>
    <w:rPr>
      <w:b/>
      <w:sz w:val="20"/>
    </w:rPr>
  </w:style>
  <w:style w:type="paragraph" w:customStyle="1" w:styleId="TabelaCorpo">
    <w:name w:val="Tabela Corpo"/>
    <w:basedOn w:val="TabelaCabealho"/>
    <w:rsid w:val="001E5BED"/>
    <w:pPr>
      <w:ind w:left="317" w:hanging="317"/>
      <w:jc w:val="both"/>
    </w:pPr>
    <w:rPr>
      <w:b w:val="0"/>
    </w:rPr>
  </w:style>
  <w:style w:type="paragraph" w:customStyle="1" w:styleId="TabelaEspaamento">
    <w:name w:val="Tabela Espaçamento"/>
    <w:basedOn w:val="TabelaCabealho"/>
    <w:rsid w:val="001E5BED"/>
    <w:rPr>
      <w:sz w:val="12"/>
      <w:szCs w:val="12"/>
    </w:rPr>
  </w:style>
  <w:style w:type="paragraph" w:styleId="NormalWeb">
    <w:name w:val="Normal (Web)"/>
    <w:basedOn w:val="Normal"/>
    <w:uiPriority w:val="99"/>
    <w:semiHidden/>
    <w:unhideWhenUsed/>
    <w:rsid w:val="00DE64F2"/>
    <w:pPr>
      <w:spacing w:before="100" w:beforeAutospacing="1" w:after="100" w:afterAutospacing="1"/>
    </w:pPr>
    <w:rPr>
      <w:lang w:val="pt-BR"/>
    </w:rPr>
  </w:style>
  <w:style w:type="character" w:styleId="nfase">
    <w:name w:val="Emphasis"/>
    <w:basedOn w:val="Fontepargpadro"/>
    <w:uiPriority w:val="20"/>
    <w:qFormat/>
    <w:rsid w:val="00DE64F2"/>
    <w:rPr>
      <w:i/>
      <w:iCs/>
    </w:rPr>
  </w:style>
  <w:style w:type="character" w:styleId="Forte">
    <w:name w:val="Strong"/>
    <w:basedOn w:val="Fontepargpadro"/>
    <w:uiPriority w:val="22"/>
    <w:qFormat/>
    <w:rsid w:val="00135B1F"/>
    <w:rPr>
      <w:b/>
      <w:bCs/>
    </w:rPr>
  </w:style>
  <w:style w:type="character" w:customStyle="1" w:styleId="apple-converted-space">
    <w:name w:val="apple-converted-space"/>
    <w:basedOn w:val="Fontepargpadro"/>
    <w:rsid w:val="00DA4FFF"/>
  </w:style>
  <w:style w:type="paragraph" w:customStyle="1" w:styleId="Default">
    <w:name w:val="Default"/>
    <w:rsid w:val="00DA4FF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99"/>
    <w:qFormat/>
    <w:rsid w:val="00DA4FFF"/>
    <w:pPr>
      <w:ind w:left="720"/>
      <w:contextualSpacing/>
    </w:pPr>
    <w:rPr>
      <w:lang w:val="pt-BR"/>
    </w:rPr>
  </w:style>
  <w:style w:type="paragraph" w:customStyle="1" w:styleId="Pa2">
    <w:name w:val="Pa2"/>
    <w:basedOn w:val="Default"/>
    <w:next w:val="Default"/>
    <w:uiPriority w:val="99"/>
    <w:rsid w:val="00DA4FFF"/>
    <w:pPr>
      <w:spacing w:line="241" w:lineRule="atLeast"/>
    </w:pPr>
    <w:rPr>
      <w:rFonts w:ascii="Futura Std Book" w:hAnsi="Futura Std Book" w:cstheme="minorBidi"/>
      <w:color w:val="auto"/>
    </w:rPr>
  </w:style>
  <w:style w:type="table" w:styleId="Tabelacomgrade">
    <w:name w:val="Table Grid"/>
    <w:basedOn w:val="Tabelanormal"/>
    <w:uiPriority w:val="59"/>
    <w:rsid w:val="00DA4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iPriority w:val="99"/>
    <w:unhideWhenUsed/>
    <w:rsid w:val="00DA4FFF"/>
    <w:pPr>
      <w:jc w:val="both"/>
    </w:pPr>
    <w:rPr>
      <w:sz w:val="20"/>
      <w:lang w:val="pt-BR"/>
    </w:rPr>
  </w:style>
  <w:style w:type="character" w:customStyle="1" w:styleId="TextodecomentrioChar">
    <w:name w:val="Texto de comentário Char"/>
    <w:basedOn w:val="Fontepargpadro"/>
    <w:link w:val="Textodecomentrio"/>
    <w:uiPriority w:val="99"/>
    <w:rsid w:val="00DA4FFF"/>
    <w:rPr>
      <w:rFonts w:ascii="Times New Roman" w:eastAsia="Times New Roman" w:hAnsi="Times New Roman" w:cs="Times New Roman"/>
      <w:sz w:val="20"/>
      <w:szCs w:val="24"/>
      <w:lang w:eastAsia="pt-BR"/>
    </w:rPr>
  </w:style>
  <w:style w:type="character" w:customStyle="1" w:styleId="A6">
    <w:name w:val="A6"/>
    <w:uiPriority w:val="99"/>
    <w:rsid w:val="00DA4FFF"/>
    <w:rPr>
      <w:color w:val="000000"/>
      <w:sz w:val="20"/>
      <w:szCs w:val="20"/>
    </w:rPr>
  </w:style>
  <w:style w:type="character" w:customStyle="1" w:styleId="label">
    <w:name w:val="label"/>
    <w:basedOn w:val="Fontepargpadro"/>
    <w:rsid w:val="00DA4FFF"/>
  </w:style>
  <w:style w:type="paragraph" w:styleId="Corpodetexto2">
    <w:name w:val="Body Text 2"/>
    <w:basedOn w:val="Normal"/>
    <w:link w:val="Corpodetexto2Char"/>
    <w:uiPriority w:val="99"/>
    <w:rsid w:val="00DA4FFF"/>
    <w:pPr>
      <w:spacing w:after="120" w:line="480" w:lineRule="auto"/>
    </w:pPr>
    <w:rPr>
      <w:rFonts w:ascii="Calibri" w:hAnsi="Calibri" w:cs="Calibri"/>
      <w:sz w:val="20"/>
      <w:lang w:val="pt-BR"/>
    </w:rPr>
  </w:style>
  <w:style w:type="character" w:customStyle="1" w:styleId="Corpodetexto2Char">
    <w:name w:val="Corpo de texto 2 Char"/>
    <w:basedOn w:val="Fontepargpadro"/>
    <w:link w:val="Corpodetexto2"/>
    <w:uiPriority w:val="99"/>
    <w:rsid w:val="00DA4FFF"/>
    <w:rPr>
      <w:rFonts w:ascii="Calibri" w:eastAsia="Times New Roman" w:hAnsi="Calibri" w:cs="Calibri"/>
      <w:sz w:val="20"/>
      <w:szCs w:val="24"/>
      <w:lang w:eastAsia="pt-BR"/>
    </w:rPr>
  </w:style>
  <w:style w:type="character" w:customStyle="1" w:styleId="a">
    <w:name w:val="a"/>
    <w:basedOn w:val="Fontepargpadro"/>
    <w:rsid w:val="00DA4FFF"/>
  </w:style>
  <w:style w:type="paragraph" w:styleId="CabealhodoSumrio">
    <w:name w:val="TOC Heading"/>
    <w:basedOn w:val="Ttulo1"/>
    <w:next w:val="Normal"/>
    <w:uiPriority w:val="39"/>
    <w:unhideWhenUsed/>
    <w:qFormat/>
    <w:rsid w:val="00DA4FFF"/>
    <w:pPr>
      <w:outlineLvl w:val="9"/>
    </w:pPr>
    <w:rPr>
      <w:lang w:val="pt-BR"/>
    </w:rPr>
  </w:style>
  <w:style w:type="paragraph" w:styleId="Sumrio1">
    <w:name w:val="toc 1"/>
    <w:basedOn w:val="Normal"/>
    <w:next w:val="Normal"/>
    <w:autoRedefine/>
    <w:uiPriority w:val="39"/>
    <w:unhideWhenUsed/>
    <w:rsid w:val="00DA4FFF"/>
    <w:pPr>
      <w:tabs>
        <w:tab w:val="left" w:pos="480"/>
        <w:tab w:val="right" w:leader="dot" w:pos="9061"/>
      </w:tabs>
      <w:spacing w:after="100" w:line="360" w:lineRule="auto"/>
    </w:pPr>
    <w:rPr>
      <w:lang w:val="pt-BR"/>
    </w:rPr>
  </w:style>
  <w:style w:type="paragraph" w:styleId="Sumrio2">
    <w:name w:val="toc 2"/>
    <w:basedOn w:val="Normal"/>
    <w:next w:val="Normal"/>
    <w:autoRedefine/>
    <w:uiPriority w:val="39"/>
    <w:unhideWhenUsed/>
    <w:rsid w:val="00DA4FFF"/>
    <w:pPr>
      <w:tabs>
        <w:tab w:val="right" w:leader="dot" w:pos="9061"/>
      </w:tabs>
      <w:spacing w:after="100" w:line="360" w:lineRule="auto"/>
      <w:ind w:left="240"/>
    </w:pPr>
    <w:rPr>
      <w:lang w:val="pt-BR"/>
    </w:rPr>
  </w:style>
  <w:style w:type="paragraph" w:styleId="Sumrio3">
    <w:name w:val="toc 3"/>
    <w:basedOn w:val="Normal"/>
    <w:next w:val="Normal"/>
    <w:autoRedefine/>
    <w:uiPriority w:val="39"/>
    <w:unhideWhenUsed/>
    <w:rsid w:val="00DA4FFF"/>
    <w:pPr>
      <w:spacing w:after="100"/>
      <w:ind w:left="480"/>
    </w:pPr>
    <w:rPr>
      <w:lang w:val="pt-BR"/>
    </w:rPr>
  </w:style>
  <w:style w:type="character" w:styleId="TtulodoLivro">
    <w:name w:val="Book Title"/>
    <w:uiPriority w:val="33"/>
    <w:qFormat/>
    <w:rsid w:val="00DA4FFF"/>
    <w:rPr>
      <w:b/>
      <w:bCs/>
      <w:smallCaps/>
      <w:spacing w:val="5"/>
    </w:rPr>
  </w:style>
  <w:style w:type="character" w:customStyle="1" w:styleId="AssuntodocomentrioChar">
    <w:name w:val="Assunto do comentário Char"/>
    <w:basedOn w:val="TextodecomentrioChar"/>
    <w:link w:val="Assuntodocomentrio"/>
    <w:uiPriority w:val="99"/>
    <w:semiHidden/>
    <w:rsid w:val="00DA4FFF"/>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A4FFF"/>
    <w:pPr>
      <w:jc w:val="left"/>
    </w:pPr>
    <w:rPr>
      <w:b/>
      <w:bCs/>
      <w:szCs w:val="20"/>
    </w:rPr>
  </w:style>
  <w:style w:type="paragraph" w:styleId="TextosemFormatao">
    <w:name w:val="Plain Text"/>
    <w:basedOn w:val="Normal"/>
    <w:link w:val="TextosemFormataoChar"/>
    <w:unhideWhenUsed/>
    <w:rsid w:val="00DA4FFF"/>
    <w:rPr>
      <w:rFonts w:ascii="Courier New" w:hAnsi="Courier New" w:cs="Courier New"/>
      <w:sz w:val="20"/>
      <w:szCs w:val="20"/>
      <w:lang w:val="pt-BR"/>
    </w:rPr>
  </w:style>
  <w:style w:type="character" w:customStyle="1" w:styleId="TextosemFormataoChar">
    <w:name w:val="Texto sem Formatação Char"/>
    <w:basedOn w:val="Fontepargpadro"/>
    <w:link w:val="TextosemFormatao"/>
    <w:rsid w:val="00DA4FFF"/>
    <w:rPr>
      <w:rFonts w:ascii="Courier New" w:eastAsia="Times New Roman" w:hAnsi="Courier New" w:cs="Courier New"/>
      <w:sz w:val="20"/>
      <w:szCs w:val="20"/>
      <w:lang w:eastAsia="pt-BR"/>
    </w:rPr>
  </w:style>
  <w:style w:type="paragraph" w:customStyle="1" w:styleId="xmsonormal">
    <w:name w:val="x_msonormal"/>
    <w:basedOn w:val="Normal"/>
    <w:rsid w:val="00DA4FFF"/>
    <w:pPr>
      <w:spacing w:before="100" w:beforeAutospacing="1" w:after="100" w:afterAutospacing="1"/>
    </w:pPr>
    <w:rPr>
      <w:lang w:val="pt-BR"/>
    </w:rPr>
  </w:style>
  <w:style w:type="paragraph" w:customStyle="1" w:styleId="rt-article-cat">
    <w:name w:val="rt-article-cat"/>
    <w:basedOn w:val="Normal"/>
    <w:rsid w:val="00DA4FFF"/>
    <w:pPr>
      <w:spacing w:before="100" w:beforeAutospacing="1" w:after="100" w:afterAutospacing="1"/>
    </w:pPr>
    <w:rPr>
      <w:lang w:val="pt-BR"/>
    </w:rPr>
  </w:style>
  <w:style w:type="character" w:customStyle="1" w:styleId="rt-category">
    <w:name w:val="rt-category"/>
    <w:basedOn w:val="Fontepargpadro"/>
    <w:rsid w:val="00DA4FFF"/>
  </w:style>
  <w:style w:type="character" w:customStyle="1" w:styleId="A4">
    <w:name w:val="A4"/>
    <w:uiPriority w:val="99"/>
    <w:rsid w:val="00DA4FFF"/>
    <w:rPr>
      <w:rFonts w:cs="Helvetica LT Std"/>
      <w:color w:val="000000"/>
      <w:sz w:val="20"/>
      <w:szCs w:val="20"/>
    </w:rPr>
  </w:style>
  <w:style w:type="character" w:customStyle="1" w:styleId="Pr-formataoHTMLChar">
    <w:name w:val="Pré-formatação HTML Char"/>
    <w:basedOn w:val="Fontepargpadro"/>
    <w:link w:val="Pr-formataoHTML"/>
    <w:uiPriority w:val="99"/>
    <w:semiHidden/>
    <w:rsid w:val="00DA4FFF"/>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DA4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rPr>
  </w:style>
  <w:style w:type="paragraph" w:styleId="ndicedeilustraes">
    <w:name w:val="table of figures"/>
    <w:basedOn w:val="Normal"/>
    <w:next w:val="Normal"/>
    <w:uiPriority w:val="99"/>
    <w:unhideWhenUsed/>
    <w:rsid w:val="00DA4FFF"/>
    <w:pPr>
      <w:ind w:left="480" w:hanging="480"/>
    </w:pPr>
    <w:rPr>
      <w:rFonts w:asciiTheme="minorHAnsi" w:hAnsiTheme="minorHAnsi" w:cstheme="minorHAnsi"/>
      <w:caps/>
      <w:sz w:val="20"/>
      <w:szCs w:val="20"/>
      <w:lang w:val="pt-BR"/>
    </w:rPr>
  </w:style>
  <w:style w:type="character" w:customStyle="1" w:styleId="TextodenotadefimChar">
    <w:name w:val="Texto de nota de fim Char"/>
    <w:basedOn w:val="Fontepargpadro"/>
    <w:link w:val="Textodenotadefim"/>
    <w:uiPriority w:val="99"/>
    <w:semiHidden/>
    <w:rsid w:val="00DA4FFF"/>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DA4FFF"/>
    <w:rPr>
      <w:sz w:val="20"/>
      <w:szCs w:val="20"/>
      <w:lang w:val="pt-BR"/>
    </w:rPr>
  </w:style>
  <w:style w:type="character" w:customStyle="1" w:styleId="TextodenotaderodapChar">
    <w:name w:val="Texto de nota de rodapé Char"/>
    <w:basedOn w:val="Fontepargpadro"/>
    <w:link w:val="Textodenotaderodap"/>
    <w:uiPriority w:val="99"/>
    <w:semiHidden/>
    <w:rsid w:val="00DA4FFF"/>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DA4FFF"/>
    <w:rPr>
      <w:sz w:val="20"/>
      <w:szCs w:val="20"/>
      <w:lang w:val="pt-BR"/>
    </w:rPr>
  </w:style>
  <w:style w:type="character" w:customStyle="1" w:styleId="ms-font-s">
    <w:name w:val="ms-font-s"/>
    <w:basedOn w:val="Fontepargpadro"/>
    <w:rsid w:val="0018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4612">
      <w:bodyDiv w:val="1"/>
      <w:marLeft w:val="0"/>
      <w:marRight w:val="0"/>
      <w:marTop w:val="0"/>
      <w:marBottom w:val="0"/>
      <w:divBdr>
        <w:top w:val="none" w:sz="0" w:space="0" w:color="auto"/>
        <w:left w:val="none" w:sz="0" w:space="0" w:color="auto"/>
        <w:bottom w:val="none" w:sz="0" w:space="0" w:color="auto"/>
        <w:right w:val="none" w:sz="0" w:space="0" w:color="auto"/>
      </w:divBdr>
    </w:div>
    <w:div w:id="479660948">
      <w:bodyDiv w:val="1"/>
      <w:marLeft w:val="0"/>
      <w:marRight w:val="0"/>
      <w:marTop w:val="0"/>
      <w:marBottom w:val="0"/>
      <w:divBdr>
        <w:top w:val="none" w:sz="0" w:space="0" w:color="auto"/>
        <w:left w:val="none" w:sz="0" w:space="0" w:color="auto"/>
        <w:bottom w:val="none" w:sz="0" w:space="0" w:color="auto"/>
        <w:right w:val="none" w:sz="0" w:space="0" w:color="auto"/>
      </w:divBdr>
    </w:div>
    <w:div w:id="197289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bservatoriodasmetropoles.net/images/abook_file/mcmv_nacional2015.pdf" TargetMode="External"/><Relationship Id="rId18" Type="http://schemas.openxmlformats.org/officeDocument/2006/relationships/hyperlink" Target="http://www.sst.sc.gov.br/arquivos/id_submenu/230/politicanacionalhabitacao.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ibliotecadigital.fgv.br/ojs/index.php/cgpc/article/view/41079"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planalto.gov.br/ccivil_03/_ato2007-2010/2009/lei/l11977.htm" TargetMode="External"/><Relationship Id="rId25" Type="http://schemas.openxmlformats.org/officeDocument/2006/relationships/hyperlink" Target="http://poli-integra.poli.usp.br/library/pdfs/ba59c98e0f940227755317a148cd6f73.pdf" TargetMode="External"/><Relationship Id="rId2" Type="http://schemas.openxmlformats.org/officeDocument/2006/relationships/numbering" Target="numbering.xml"/><Relationship Id="rId16" Type="http://schemas.openxmlformats.org/officeDocument/2006/relationships/hyperlink" Target="http://www.planalto.gov.br/ccivil_03/leis/LEIS_2001/L10257.htm" TargetMode="External"/><Relationship Id="rId20" Type="http://schemas.openxmlformats.org/officeDocument/2006/relationships/hyperlink" Target="http://repositorio.ufc.br/bitstream/riufc/13075/1/2015_dis_mvmorai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observatoriodasmetropoles.net/images/abook_file/mcmv_nacional2015.pdf" TargetMode="External"/><Relationship Id="rId5" Type="http://schemas.openxmlformats.org/officeDocument/2006/relationships/settings" Target="settings.xm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www.diplomatique.org.br/artigo.php?id=461" TargetMode="External"/><Relationship Id="rId28" Type="http://schemas.openxmlformats.org/officeDocument/2006/relationships/theme" Target="theme/theme1.xml"/><Relationship Id="rId10" Type="http://schemas.openxmlformats.org/officeDocument/2006/relationships/hyperlink" Target="mailto:ana-cristina18@hotmail.com" TargetMode="External"/><Relationship Id="rId19" Type="http://schemas.openxmlformats.org/officeDocument/2006/relationships/hyperlink" Target="http://mirror.usjt.br/arq.urb/numero_01/artigo_05_180908.pdf" TargetMode="External"/><Relationship Id="rId4" Type="http://schemas.microsoft.com/office/2007/relationships/stylesWithEffects" Target="stylesWithEffects.xml"/><Relationship Id="rId9" Type="http://schemas.openxmlformats.org/officeDocument/2006/relationships/hyperlink" Target="mailto:lilianeliene@hotmail.com" TargetMode="External"/><Relationship Id="rId14" Type="http://schemas.openxmlformats.org/officeDocument/2006/relationships/hyperlink" Target="https://legislacao.planalto.gov.br/legisla/legislacao.nsf/viwTodos/509f2321d97cd2d203256b280052245a?OpenDocument&amp;Highlight=1,constitui%C3%A7%C3%A3o&amp;AutoFramed" TargetMode="External"/><Relationship Id="rId22" Type="http://schemas.openxmlformats.org/officeDocument/2006/relationships/hyperlink" Target="http://www.teses.usp.br/teses/disponiveis/8/8131/tde-29072015-144127/pt-br.ph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237;lian\Documents\TCC%20-%202\Quadro%20Deficit%20Habitacio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vert="horz"/>
              <a:lstStyle/>
              <a:p>
                <a:pPr>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Plan3!$A$102:$A$106</c:f>
              <c:strCache>
                <c:ptCount val="5"/>
                <c:pt idx="0">
                  <c:v>Propria  </c:v>
                </c:pt>
                <c:pt idx="1">
                  <c:v>Cedida   </c:v>
                </c:pt>
                <c:pt idx="2">
                  <c:v>Residia em outra localidade</c:v>
                </c:pt>
                <c:pt idx="3">
                  <c:v>Alugada</c:v>
                </c:pt>
                <c:pt idx="4">
                  <c:v>Morava com familiar ou  amigo</c:v>
                </c:pt>
              </c:strCache>
            </c:strRef>
          </c:cat>
          <c:val>
            <c:numRef>
              <c:f>Plan3!$C$102:$C$106</c:f>
              <c:numCache>
                <c:formatCode>0.00%</c:formatCode>
                <c:ptCount val="5"/>
                <c:pt idx="0">
                  <c:v>0.15217391304347827</c:v>
                </c:pt>
                <c:pt idx="1">
                  <c:v>0.10434782608695652</c:v>
                </c:pt>
                <c:pt idx="2">
                  <c:v>8.6956521739130436E-3</c:v>
                </c:pt>
                <c:pt idx="3">
                  <c:v>0.56521739130434778</c:v>
                </c:pt>
                <c:pt idx="4">
                  <c:v>0.16956521739130434</c:v>
                </c:pt>
              </c:numCache>
            </c:numRef>
          </c:val>
          <c:extLst xmlns:c16r2="http://schemas.microsoft.com/office/drawing/2015/06/chart">
            <c:ext xmlns:c16="http://schemas.microsoft.com/office/drawing/2014/chart" uri="{C3380CC4-5D6E-409C-BE32-E72D297353CC}">
              <c16:uniqueId val="{00000000-F52A-4DAC-8B32-4BB2606F4BC4}"/>
            </c:ext>
          </c:extLst>
        </c:ser>
        <c:dLbls>
          <c:showLegendKey val="0"/>
          <c:showVal val="0"/>
          <c:showCatName val="0"/>
          <c:showSerName val="0"/>
          <c:showPercent val="0"/>
          <c:showBubbleSize val="0"/>
        </c:dLbls>
        <c:gapWidth val="219"/>
        <c:overlap val="-27"/>
        <c:axId val="231695872"/>
        <c:axId val="231697792"/>
      </c:barChart>
      <c:catAx>
        <c:axId val="23169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BR"/>
          </a:p>
        </c:txPr>
        <c:crossAx val="231697792"/>
        <c:crosses val="autoZero"/>
        <c:auto val="1"/>
        <c:lblAlgn val="ctr"/>
        <c:lblOffset val="100"/>
        <c:noMultiLvlLbl val="0"/>
      </c:catAx>
      <c:valAx>
        <c:axId val="231697792"/>
        <c:scaling>
          <c:orientation val="minMax"/>
        </c:scaling>
        <c:delete val="0"/>
        <c:axPos val="l"/>
        <c:numFmt formatCode="0.00%" sourceLinked="1"/>
        <c:majorTickMark val="none"/>
        <c:minorTickMark val="none"/>
        <c:tickLblPos val="nextTo"/>
        <c:spPr>
          <a:noFill/>
          <a:ln>
            <a:noFill/>
          </a:ln>
          <a:effectLst/>
        </c:spPr>
        <c:txPr>
          <a:bodyPr rot="-60000000" vert="horz"/>
          <a:lstStyle/>
          <a:p>
            <a:pPr>
              <a:defRPr/>
            </a:pPr>
            <a:endParaRPr lang="pt-BR"/>
          </a:p>
        </c:txPr>
        <c:crossAx val="231695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111111111111108E-2"/>
          <c:y val="9.2014435695538063E-2"/>
          <c:w val="0.91382526695563693"/>
          <c:h val="0.70496465719562829"/>
        </c:manualLayout>
      </c:layout>
      <c:barChart>
        <c:barDir val="col"/>
        <c:grouping val="clustered"/>
        <c:varyColors val="0"/>
        <c:ser>
          <c:idx val="0"/>
          <c:order val="0"/>
          <c:tx>
            <c:strRef>
              <c:f>Planilha1!$B$10</c:f>
              <c:strCache>
                <c:ptCount val="1"/>
                <c:pt idx="0">
                  <c:v>Frequência</c:v>
                </c:pt>
              </c:strCache>
            </c:strRef>
          </c:tx>
          <c:spPr>
            <a:solidFill>
              <a:schemeClr val="tx1"/>
            </a:solidFill>
            <a:ln w="19050">
              <a:solidFill>
                <a:schemeClr val="lt1"/>
              </a:solidFill>
            </a:ln>
            <a:effectLst/>
          </c:spPr>
          <c:invertIfNegative val="0"/>
          <c:dLbls>
            <c:spPr>
              <a:noFill/>
              <a:ln>
                <a:noFill/>
              </a:ln>
              <a:effectLst/>
            </c:spPr>
            <c:txPr>
              <a:bodyPr rot="0" vert="horz"/>
              <a:lstStyle/>
              <a:p>
                <a:pPr>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Planilha1!$A$11:$A$17</c:f>
              <c:numCache>
                <c:formatCode>General</c:formatCode>
                <c:ptCount val="7"/>
                <c:pt idx="0">
                  <c:v>2009</c:v>
                </c:pt>
                <c:pt idx="1">
                  <c:v>2010</c:v>
                </c:pt>
                <c:pt idx="2">
                  <c:v>2011</c:v>
                </c:pt>
                <c:pt idx="3">
                  <c:v>2012</c:v>
                </c:pt>
                <c:pt idx="4">
                  <c:v>2013</c:v>
                </c:pt>
                <c:pt idx="5">
                  <c:v>2014</c:v>
                </c:pt>
                <c:pt idx="6">
                  <c:v>2015</c:v>
                </c:pt>
              </c:numCache>
            </c:numRef>
          </c:cat>
          <c:val>
            <c:numRef>
              <c:f>Planilha1!$B$11:$B$17</c:f>
              <c:numCache>
                <c:formatCode>0.00%</c:formatCode>
                <c:ptCount val="7"/>
                <c:pt idx="0">
                  <c:v>5.6521739130434782E-2</c:v>
                </c:pt>
                <c:pt idx="1">
                  <c:v>9.5652173913043481E-2</c:v>
                </c:pt>
                <c:pt idx="2">
                  <c:v>0.16086956521739129</c:v>
                </c:pt>
                <c:pt idx="3">
                  <c:v>0.11739130434782609</c:v>
                </c:pt>
                <c:pt idx="4">
                  <c:v>9.1304347826086957E-2</c:v>
                </c:pt>
                <c:pt idx="5">
                  <c:v>0.14782608695652175</c:v>
                </c:pt>
                <c:pt idx="6">
                  <c:v>0.33043478260869563</c:v>
                </c:pt>
              </c:numCache>
            </c:numRef>
          </c:val>
          <c:extLst xmlns:c16r2="http://schemas.microsoft.com/office/drawing/2015/06/chart">
            <c:ext xmlns:c16="http://schemas.microsoft.com/office/drawing/2014/chart" uri="{C3380CC4-5D6E-409C-BE32-E72D297353CC}">
              <c16:uniqueId val="{00000000-9D63-4C08-931A-921D9036CD2A}"/>
            </c:ext>
          </c:extLst>
        </c:ser>
        <c:dLbls>
          <c:showLegendKey val="0"/>
          <c:showVal val="0"/>
          <c:showCatName val="0"/>
          <c:showSerName val="0"/>
          <c:showPercent val="0"/>
          <c:showBubbleSize val="0"/>
        </c:dLbls>
        <c:gapWidth val="150"/>
        <c:axId val="245717248"/>
        <c:axId val="252719872"/>
      </c:barChart>
      <c:catAx>
        <c:axId val="245717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BR"/>
          </a:p>
        </c:txPr>
        <c:crossAx val="252719872"/>
        <c:crosses val="autoZero"/>
        <c:auto val="1"/>
        <c:lblAlgn val="ctr"/>
        <c:lblOffset val="100"/>
        <c:noMultiLvlLbl val="0"/>
      </c:catAx>
      <c:valAx>
        <c:axId val="252719872"/>
        <c:scaling>
          <c:orientation val="minMax"/>
        </c:scaling>
        <c:delete val="1"/>
        <c:axPos val="l"/>
        <c:numFmt formatCode="0.00%" sourceLinked="1"/>
        <c:majorTickMark val="out"/>
        <c:minorTickMark val="none"/>
        <c:tickLblPos val="nextTo"/>
        <c:crossAx val="24571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758E-B5DB-4F70-8882-67D8C199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9464</Words>
  <Characters>53855</Characters>
  <Application>Microsoft Office Word</Application>
  <DocSecurity>0</DocSecurity>
  <Lines>1417</Lines>
  <Paragraphs>753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2017-04-19T01:27:00Z</dcterms:created>
  <dcterms:modified xsi:type="dcterms:W3CDTF">2017-04-19T16:34:00Z</dcterms:modified>
</cp:coreProperties>
</file>